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color w:val="1F3864"/>
          <w:sz w:val="30"/>
          <w:szCs w:val="30"/>
        </w:rPr>
        <w:t xml:space="preserve">Auditoria adversarial — Manifestação sobre a contraminuta v3.5 — AI 2186351-42.2026.8.26.0000</w:t>
      </w:r>
    </w:p>
    <w:p>
      <w:pPr>
        <w:spacing w:after="40" w:line="276"/>
        <w:jc w:val="center"/>
      </w:pPr>
      <w:r>
        <w:rPr>
          <w:rFonts w:ascii="Times New Roman" w:cs="Times New Roman" w:eastAsia="Times New Roman" w:hAnsi="Times New Roman"/>
          <w:b/>
          <w:bCs/>
          <w:i w:val="false"/>
          <w:iCs w:val="false"/>
        </w:rPr>
        <w:t xml:space="preserve">Claude Code — Claude Fable 5.1 (Anthropic) | Data: 29/09/2026 | Hora: 10:12:00 (Brasília) | Chat: Auditoria EPE Ourinhos</w:t>
      </w:r>
    </w:p>
    <w:p>
      <w:pPr>
        <w:spacing w:after="40" w:line="276"/>
        <w:jc w:val="center"/>
      </w:pPr>
      <w:r>
        <w:rPr>
          <w:rFonts w:ascii="Times New Roman" w:cs="Times New Roman" w:eastAsia="Times New Roman" w:hAnsi="Times New Roman"/>
          <w:b/>
          <w:bCs/>
          <w:i w:val="false"/>
          <w:iCs w:val="false"/>
        </w:rPr>
        <w:t xml:space="preserve">Arquivos recebidos:</w:t>
      </w:r>
      <w:r>
        <w:rPr>
          <w:rFonts w:ascii="Times New Roman" w:cs="Times New Roman" w:eastAsia="Times New Roman" w:hAnsi="Times New Roman"/>
          <w:b w:val="false"/>
          <w:bCs w:val="false"/>
          <w:i w:val="false"/>
          <w:iCs w:val="false"/>
        </w:rPr>
        <w:t xml:space="preserve"> (1) Prompt_Auditoria_Adversarial_Manifestacao_AI_2186351-2026_v3_DEFESA_Claude.txt (1 arquivo de texto, 77 linhas). (2) Manifestacao_Contraminuta_AI_2186351-2026_v3.5_DEFESA_Claude.docx (peça de 11 seções, com folha de controle e 3 tabelas; o primeiro envio veio com 0 byte e o segundo, íntegro). Os demais arquivos do item 6 do prompt (contraminuta, agravo, seis folhas dos embargos, petição da origem v1, folhas da origem e jurisprudência) foram lidos no Google Drive e nos arquivos já conferidos nesta sessão. Julgados novos lidos hoje no inteiro teor, no Drive: AgInt na ExeMS 4.146/DF (10 p.); REsp 1.915.192/SP (8 p.); REsp 2.102.254/PE (11 p.); REsp 2.153.755/RS (10 p.); EDcl no AREsp 2.837.221/SP (15 p.); EREsp 1.946.826/SP (25 p.); AgInt nos EDcl no REsp 1.930.477/PR (50 p.); REsp 2.018.575/PR (14 p.); REsp 1.655.655/SP (10 p.).</w:t>
      </w:r>
    </w:p>
    <w:p>
      <w:pPr>
        <w:spacing w:after="40" w:line="276"/>
        <w:jc w:val="center"/>
      </w:pPr>
      <w:r>
        <w:rPr>
          <w:rFonts w:ascii="Times New Roman" w:cs="Times New Roman" w:eastAsia="Times New Roman" w:hAnsi="Times New Roman"/>
          <w:b/>
          <w:bCs/>
          <w:i w:val="false"/>
          <w:iCs w:val="false"/>
        </w:rPr>
        <w:t xml:space="preserve">Status de leitura:</w:t>
      </w:r>
      <w:r>
        <w:rPr>
          <w:rFonts w:ascii="Times New Roman" w:cs="Times New Roman" w:eastAsia="Times New Roman" w:hAnsi="Times New Roman"/>
          <w:b w:val="false"/>
          <w:bCs w:val="false"/>
          <w:i w:val="false"/>
          <w:iCs w:val="false"/>
        </w:rPr>
        <w:t xml:space="preserve"> Manifestação v3.5: texto integral (todos os parágrafos e tabelas). Prompt: integral. Julgados novos: integrais, salvo REsp 1.930.477/PR (ementa, acórdão e voto vencedor; 50 páginas percorridas por busca). Contraminuta: fls. 95/111 do AI, já lidas em imagem em 28/09/2026. Agravo: minuta integral ("DEF O 4.8 84.27 ALQUEIRES CHAV - PETICIONADA jm.txt"); o PDF protocolado de 112 páginas excede o limite de 10 MB do conector e não pôde ser aberto hoje. Folhas da origem: 3041, 3435/3437, 3441/3452, 3345/3351, 3422/3434, 2144/2184, 203/204, 165/183 e 1419/1421, todas já conferidas.</w:t>
      </w:r>
    </w:p>
    <w:p>
      <w:pPr>
        <w:spacing w:after="40" w:line="276"/>
        <w:jc w:val="center"/>
      </w:pPr>
      <w:r>
        <w:rPr>
          <w:rFonts w:ascii="Times New Roman" w:cs="Times New Roman" w:eastAsia="Times New Roman" w:hAnsi="Times New Roman"/>
          <w:b/>
          <w:bCs/>
          <w:i w:val="false"/>
          <w:iCs w:val="false"/>
        </w:rPr>
        <w:t xml:space="preserve">Primeiro passo.</w:t>
      </w:r>
      <w:r>
        <w:rPr>
          <w:rFonts w:ascii="Times New Roman" w:cs="Times New Roman" w:eastAsia="Times New Roman" w:hAnsi="Times New Roman"/>
          <w:b w:val="false"/>
          <w:bCs w:val="false"/>
          <w:i w:val="false"/>
          <w:iCs w:val="false"/>
        </w:rPr>
        <w:t xml:space="preserve"> Tenho todos os documentos, com as três ressalvas listadas ao final (paginação interna do agravo, fls. 3075 e fls. 3045/3063).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0"/>
        <w:gridCol w:w="310"/>
        <w:gridCol w:w="2325"/>
        <w:gridCol w:w="2325"/>
        <w:gridCol w:w="2325"/>
        <w:gridCol w:w="2325"/>
        <w:gridCol w:w="2325"/>
        <w:gridCol w:w="2325"/>
      </w:tblGrid>
      <w:tr>
        <w:trPr>
          <w:cantSplit/>
          <w:tblHeader/>
        </w:trPr>
        <w:tc>
          <w:tcPr>
            <w:tcW w:type="dxa" w:w="31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31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c>
          <w:tcPr>
            <w:tcW w:type="dxa" w:w="232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Local na petição</w:t>
            </w:r>
          </w:p>
        </w:tc>
        <w:tc>
          <w:tcPr>
            <w:tcW w:type="dxa" w:w="232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Trecho exato</w:t>
            </w:r>
          </w:p>
        </w:tc>
        <w:tc>
          <w:tcPr>
            <w:tcW w:type="dxa" w:w="232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Falha</w:t>
            </w:r>
          </w:p>
        </w:tc>
        <w:tc>
          <w:tcPr>
            <w:tcW w:type="dxa" w:w="232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Prova</w:t>
            </w:r>
          </w:p>
        </w:tc>
        <w:tc>
          <w:tcPr>
            <w:tcW w:type="dxa" w:w="232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Como a contraminuta ou a Relatora vai usar</w:t>
            </w:r>
          </w:p>
        </w:tc>
        <w:tc>
          <w:tcPr>
            <w:tcW w:type="dxa" w:w="232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Correção proposta</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III, último parágrafo (fidelidade ao título)</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juízo da execução não pode reduzir o crédito abaixo desse comando, nem afastar encargos que a coisa julgada validou, sem declarar nulidade ou abusividade de cláusula alguma" e "viola a força obrigatória do contrato a decisão que afasta 'encargos livremente pactuados sem alegação de nulidade ou abusividade das cláusulas' (REsp 2.153.755/RS…)"</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REsp 2.153.755/RS decidiu que os encargos contratuais incidem "até o efetivo e integral pagamento", inclusive depois do ajuizamento. Essa é uma tese que os agravantes não formulam (pedidos d e e: correção e juros legais desde 1995), que contraria a Seção VII da própria peça ("aplica apenas correção monetária e juros legais simples") e a decisão de fls. 3043 e-SAJ, e que reabre o tema dos encargos cobrados por cessionário, no qual a 13ª CDP tem precedente contrário (Ap. 1040981-64.2018, Rel. Des. Giaquinto, citada a fls. 3042 e-SAJ)</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2.153.755/RS, 3ª T., ementa itens 6 e 7 e dispositivo ("os encargos contratuais incidam sobre o saldo devedor até a data do seu efetivo e integral pagamento"); Manifestação, Seção VII; fls. 3042/3043 e-SAJ (física: n/d); agravo, pedidos d e 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Relatora lerá o parágrafo como pedido de encargos contratuais pós-1995, não deduzido no agravo (inovação), ou virará o argumento: pela fidelidade ao título, o juiz "deve verificar a adequação do cálculo do credor ao título sob cumprimento, corrigindo eventuais discrepâncias" (AgInt nos EDcl no REsp 1.930.477/PR, 4ª T., maioria, 23/08/2022), e o título, para o agravado, é a cédula de Cz$ 1.210.000,00</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Suprimir a citação do REsp 2.153.755/RS e a frase "nem afastar encargos que a coisa julgada validou". Substituir por: "O título executado é a cédula de crédito industrial tal como definida, com trânsito em julgado, pela sentença e pelo acórdão dos embargos, e liquidada na conta homologada em 1995. A fidelidade ao título, já invocada a fls. 7/8 do AI, impede que o juízo da execução substitua essa base por outra sem declarar a nulidade ou a abusividade de cláusula alguma. Os agravantes não pedem encargos contratuais depois de 05/10/1995: pedem correção monetária e juros legais simples sobre o saldo homologado (fls. 3419 e-SAJ)." Manter o EDcl no AREsp 2.837.221/SP com a indicação "cumprimento de sentença; por analogia"</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VI, "Segunda"</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item 2 de fls. 3066 favorecia o agravante daquele recurso e não foi objeto de devolução por nenhuma das partes."</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acórdão do AI 2236642-80.2025 registra que o recurso do executado foi interposto contra a decisão de fls. 3038/3044 "complementada às fls. 3.064-3.066" e a manteve "no mais". A afirmação de que fls. 3066 "não foi objeto de devolução por nenhuma das partes" é contrária ao texto do acórdão da própria Relatora</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Acórdão do AI 2236642, fls. 3346 e-SAJ ("complementada às fls. 3.064-3.066") e fls. 3350 e-SAJ ("mantida, no mais"); trânsito a fls. 3351 e-SAJ (física: n/d)</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agravado dirá que fls. 3066 foi devolvida à Câmara e por ela mantida, com trânsito em 04/11/2025, e a Relatora, autora do acórdão, verá afirmação inexata sobre o próprio julgado (art. 77, I)</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item 2 de fls. 3066 favorecia o executado, único recorrente, que não o impugnou; ao manter 'no mais' a decisão (fls. 3350 e-SAJ), esta Câmara nada decidiu sobre a base de cálculo, matéria que declarou estranha ao objeto da exceção (fls. 3347/3348 e-SAJ)."</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III, parágrafos 4º e 5º (sentença dos embargos; REsp 1.915.192/SP)</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mesma sentença, e o acórdão que a confirmou, resolveram também os critérios de cálculo que a decisão agravada agora reabre" e "transitada em julgado a sentença dos embargos à execução, é 'vedada a rediscussão de seus termos' (REsp 1.915.192/SP…)"</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peça cita a sentença só na parte favorável. A mesma sentença afirmou que "o contrato exeqüendo não contempla tal anomalia" (anatocismo), e a conta de 1995 capitalizou mensalmente com mora de 1% ao mês, como o próprio agravo descreve (fls. 2/3 do AI: "juros de mora de 1% a.m."). O REsp 1.915.192/SP, citado como apoio, decidiu exatamente que o exequente não pode "'escolher' apenas a parte da sentença que lhe beneficia, ignorando a parte que lhe foi desfavorável", e ali a sentença dos embargos reduziu os juros do título contra o credor</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 fls. 2176/2178 e-SAJ / fls. 38/39 física (embargos); conta de fls. 180/183 e-SAJ / fls. 134/137 física; REsp 1.915.192/SP, 4ª T., sessão virtual de 03 a 09/02/2026, voto do Relator (transcrição do TJSP adotada como fundamento)</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agravado transcreverá "não contempla tal anomalia" e dirá que a conta de 1995 violou a sentença e que fls. 3066 apenas a restabeleceu; a Relatora usará o precedente dos agravantes para dizer que a sentença vincula o credor também na parte desfavorável</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Inserir, após a citação da sentença: "A sentença afastou a alegação de anatocismo dos embargantes e validou a forma de apuração 'como reclamada pelo embargado' (fls. 2176/2178 e-SAJ / fls. 38/39 física). A conta de 1995 foi elaborada pela Contadoria em cumprimento dessa sentença, submetida às partes e homologada sem recurso. Eventual divergência entre a conta e a sentença seria erro de critério, coberto pela preclusão, e não erro material (EDcl no REsp 1.229.406/SP; AgInt no REsp 2.127.021/DF, 3ª Turma, execução de título extrajudicial)." Manter o REsp 1.915.192/SP com a frase: "a sentença dos embargos vincula a execução em tudo o que decidiu"</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VI, "Primeira"</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decisão de fls. 3066 mandou partir de maio/1987 sem revogar aquela homologação e sem dizer por que ela deixaria de valer. Sua fundamentação refere-se apenas à 'metodologia apresentada às fls. 3055' (…) A questão da eficácia da homologação de 1995 só foi enfrentada, pela primeira vez, na decisão agravada"</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item 2, alínea "a", de fls. 3066 fixou a base ("atualização monetária exclusivamente do valor principal desde (…) maio/1987"), o que exclui o saldo de 1995 por definição; a decisão agravada descreve fls. 3066 como tendo determinado que "a base de cálculo devesse partir obrigatoriamente do valor principal original histórico"; o despacho de fls. 3352 reiterou o comando em 26/11/2025 e os exequentes o cumpriram a fls. 3077/3078. Dizer que a base "só foi enfrentada" em 2026 é afirmação que os autos desmentem</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3066 e-SAJ, item 2, "a"; fls. 3436 e-SAJ, 2º parágrafo; fls. 3352 e-SAJ; fls. 3077/3078 e-SAJ (física: n/d)</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Relatora dirá que a base foi decidida em 29/05/2025, reiterada em 26/11/2025 e cumprida sem recurso, e aplicará o AgInt no REsp 1.455.741/DF (4ª T., 2020: decisão que delimita cálculos preclui se não agravada) e o EREsp 1.946.826/SP (Corte Especial, 04/02/2026, v.u.: mesmo matéria de ordem pública sofre preclusão pro judicato quando já decidida)</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Reescrever a "Primeira": "É certo que o item 2 de fls. 3066 fixou o principal de maio/1987 como base. Fê-lo, porém, vinte e um dias depois de a decisão de fls. 3038/3044 reconhecer que 'a última conta de atualização do débito homologada foi ainda durante a titularidade do crédito pelo credor originário' (fls. 3041 e-SAJ), sem revogar a homologação, sem fundamento que a afastasse (art. 489, § 1º, IV, do CPC) e em embargos de declaração rejeitados. A preclusão pro judicato protege a primeira decisão sobre a base do débito, que é a de 1995: 'nenhum juiz decidirá novamente as questões já decididas' (art. 505 do CPC). Foi a decisão de 2025 que reapreciou questão decidida, e não o contrário. A Corte Especial do STJ reafirmou que matéria já decidida em provimento anterior não pode ser reapreciada, ainda que de ordem pública (EREsp 1.946.826/SP, Rel. Min. Raul Araújo, j. 04/02/2026, DJEN 13/02/2026)."</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VI, "Segunda", parte final (REsp 2.102.254/PE; arts. 9º e 10)</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"Os agravantes nunca foram ouvidos sobre a forma de contagem dos juros antes do item 2 (arts. 9º e 10 do CPC). A alteração do conteúdo patrimonial em embargos de declaração, 'ainda que qualificada como esclarecimento, caracteriza efeitos infringentes e demanda contraditório prévio' (STJ, REsp 2.102.254/PE…)"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O precedente trata de embargos de declaração acolhidos com efeito modificativo, em ação de conhecimento, e da intimação do art. 1.023, § 2º; aqui os embargos foram rejeitados e o item 2 é determinação autônoma. (b) Vício de contraditório é nulidade que se alega na primeira oportunidade (art. 278 do CPC); a petição de fls. 3077, de 04/06/2025, nada disse. (c) Não consta dos arquivos lidos se os exequentes foram intimados dos embargos de declaração do executado (fls. 3045/3063 não lidas)</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2.102.254/PE, 4ª T., sessão virtual de 23 a 30/06/2026, ementa I.1 e IV.7 (plano de saúde; honorários; embargos acolhidos); fls. 3077 e-SAJ; CPC, art. 278</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Relatora dirá que a nulidade relativa está preclusa e que o argumento não consta do agravo; o agravado dirá que o precedente "não se aplica"</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Manter a "Segunda" sem a palavra "nunca" e sem invocar nulidade: "A determinação do item 2 foi proferida sem que os exequentes tivessem sido chamados a se manifestar sobre a forma de contagem dos juros, matéria que o próprio juízo declarou estranha ao incidente. O STJ exige contraditório prévio quando o julgamento de embargos de declaração altera o conteúdo patrimonial da decisão, 'ainda que qualificada como esclarecimento' (REsp 2.102.254/PE, 4ª Turma, Rel. Min. João Otávio de Noronha, j. 30/06/2026, mutatis mutandis)." Se fls. 3045/3063 mostrarem intimação dos exequentes para responder aos embargos, suprimir o argumento</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III, parágrafo 6º ("A coisa julgada é matéria cognoscível de ofício…")</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coisa julgada é matéria cognoscível de ofício, em qualquer grau (art. 5º, XXXVI, da Constituição; arts. 505 e 508 do CPC). Sua indicação nesta manifestação não constitui pedido novo: reforça o fundamento do agravo (a estabilidade da conta homologada em 1995, fls. 4/6 do AI)"</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Os arts. 505 e 508 não tratam da cognoscibilidade de ofício; os dispositivos são o art. 485, V e § 3º, e o art. 337, VII e § 5º, do CPC. (b) O agravo (minuta integral) não menciona a sentença nem o acórdão dos embargos, "coisa julgada" de 1991/1993, o 1º TACivSP ou o ano de 1993, e atribui os 20% ao despacho de fls. 52: a coisa julgada material é fundamento novo, deduzido pela primeira vez nesta manifestação. (c) Não pude conferir "fls. 4/6 do AI" no PDF protocolado</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Minuta do agravo (busca por "1991", "1993", "Alçada", "coisa julgada", "embargos": nenhuma ocorrência relativa à sentença dos embargos); agravo, item 2 (fls. 52 como fonte dos 20%); CPC, arts. 337, VII e § 5º, 485, V e § 3º</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Relatora pode qualificar a coisa julgada como causa de pedir nova (art. 1.014, por analogia; preclusão consumativa, art. 1.003, § 5º) e não a examinar; a contraminuta dirá que os agravantes mudaram o fundamento depois de lida a resposta</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coisa julgada é matéria de ordem pública, cognoscível de ofício em qualquer grau de jurisdição (art. 485, V e § 3º, e art. 337, VII e § 5º, do CPC). Sua indicação nesta manifestação não é pedido novo nem causa de pedir nova: é fundamento de direito do mesmo pedido d.1 (estabilidade da conta de 1995, fls. 4/6 do AI), deduzido em resposta ao fato alegado pela contraminuta a fls. 104 do AI e provado por peças que já integram os autos eletrônicos de origem." Conferir "fls. 4/6" e "fls. 7/8 do AI" no PDF de 112 páginas antes do protocolo</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III, parágrafo 5º (AgInt na ExeMS 4.146/DF)</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Terceira Seção assentou que o corrigível a qualquer tempo 'é a inexatidão material ou o erro de cálculo, jamais os critérios utilizados na apuração do valor devido. Estes, se não impugnados oportunamente, tornam-se inalteráveis pela coisa julgada' (AgInt na ExeMS 4.146/DF…)"</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Citação literal e dados corretos (Terceira Seção, Rel. Min. Reynaldo Soares da Fonseca, j. 26/10/2022, DJe 03/11/2022, v.u.). Mas é execução de mandado de segurança contra a União (título judicial, Seção criminal) e a ratio é a preclusão dos critérios "não impugnados oportunamente": exatamente o que a contraminuta diz de fls. 3066</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na ExeMS 4.146/DF, ementa e voto ("a União não se opôs expressamente aos cálculos de fl. 72 (…), não podendo, portanto, fazê-lo agora")</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agravado dirá que os critérios de fls. 3066, "não impugnados oportunamente", tornaram-se inalteráveis, com apoio no precedente trazido pelos próprios agravantes</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Substituir pelo AgInt no REsp 2.127.021/DF (3ª Turma, Rel. Min. Humberto Martins, j. 19/08/2024): execução de título extrajudicial, conta da Contadoria homologada, "critério de cálculo" não é erro material. Se mantiver a ExeMS 4.146, acrescentar "em execução de título judicial" e explicitar o gume favorável: o executado, intimado da conta em 1995 (fls. 169 e-SAJ / fls. 126 física), não a impugnou nem recorreu da homologação (fls. 203/204 e-SAJ / fls. 152 e verso, física)</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III, último parágrafo (EDcl no AREsp 2.837.221/SP)</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se admite a modificação, em execução, 'dos marcos temporais e critérios de cálculo fixados no título executivo, sob pena de violação da coisa julgada' (EDcl no AREsp 2.837.221/SP, 3ª Turma, Rel. Min. Humberto Martins, j. 22/06/2026)"</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Citação literal e dados corretos (sessão virtual de 16 a 22/06/2026, v.u., DJEN 25/06/2026). Mas: é cumprimento de sentença (título judicial); são embargos de declaração rejeitados, cujo fundamento é o acórdão anterior; e o item 10 da ementa funda a "preclusão máxima" na "ausência de impugnação, na fase de conhecimento, de capítulo específico", raciocínio que o agravado aplicará à falta de agravo contra fls. 3066</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AREsp 2.837.221/SP, ementa itens 1, 8 e 10</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Relatora dirá que o precedente "não se aplica" a execução de título extrajudicial; o agravado usará o item 10 contra os agravantes</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Manter, com a indicação "cumprimento de sentença; por analogia", e completar o argumento: "o mesmo raciocínio protege o capítulo da sentença dos embargos sobre taxas e forma de contagem (fls. 2178 e-SAJ / fls. 39 física), não impugnado pelos embargantes em 1993 e, por isso, incorporado ao título (art. 508 do CPC)"</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I, 2º e 3º parágrafos; Seção X; pedido (a)</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"os agravantes apresentam cópias de peças já constantes dos autos de origem (fls. 2144/2184 e-SAJ), de pleno conhecimento do agravado (arts. 9º, 10 e 435 do CPC)"</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As peças são de 1991/1993 e estão nos autos de origem desde 2024; não são "novas" no sentido do art. 435 (caput: fatos ocorridos depois; parágrafo único: documentos formados ou conhecidos depois). Podiam ter instruído o agravo (art. 1.017, II). O fundamento que resolve a questão não está na peça: em autos eletrônicos, as peças de instrução são dispensadas e a Câmara consulta a origem (art. 1.017, § 5º, do CPC)</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CPC, arts. 435 e 1.017, II e § 5º; fls. 2144/2184 e-SAJ (traslado da CP em 03/12/2024)</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Relatora pode não conhecer da juntada (preclusão consumativa na instrução do agravo) ou abrir vista de 15 dias (art. 437, § 1º), adiando a pauta; a contraminuta dirá que não há documento "novo"</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Acrescentar ao 2º parágrafo da Seção I: "Sendo eletrônicos os autos de origem, as peças estão à disposição desta Câmara independentemente de juntada (art. 1.017, § 5º, do CPC); as cópias são apresentadas apenas para facilitar a consulta, e a indicação das folhas basta para o exame, caso Vossa Excelência entenda desnecessária a juntada." Repetir a ideia na Seção X</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VIII, 2º parágrafo (retificação de fls. 52)</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"Em lealdade processual, retifica-se o agravo: a fonte da verba honorária de 20% não é o despacho de fls. 52 e-SAJ / fls. 23 física (…)"</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retificação está dentro da seção que rebate o pedido de má-fé contra os agravantes e logo depois de a peça pedir a desconsideração das afirmações do agravado (art. 77, I). O agravo afirmou que fls. 52 "expressamente arbitrou os honorários advocatícios em 20%" (fls. 2/3 do AI); a correção, feita só depois da contraminuta e nesse local, convida a réplica de que os agravantes também alteraram a verdade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Agravo, item 2 (minuta: "decisão judicial de 03/11/1987 (fls. 52), que expressamente arbitrou os honorários advocatícios em 20%"); fls. 52 e-SAJ / fls. 23 física; fls. 2184 e-SAJ / fls. 42 física</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agravado dirá "os agravantes confessam afirmação falsa no agravo e pedem sanção contra o adversário pelo mesmo vício"; a Relatora pode enfraquecer o pedido (c)</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Mover o parágrafo para o fim da Seção II (fatos), com esta redação: "Por lealdade, registra-se que a indicação, no agravo, do despacho de fls. 52 e-SAJ / fls. 23 física como fonte dos honorários de 20% é imprecisa: aquele despacho fixava honorários apenas 'em caso de pagamento ou de não apresentação de embargos'. A fonte é a sentença dos embargos (fls. 2184 e-SAJ / fls. 42 física), como o próprio executado reconheceu a fls. 1419/1421 e-SAJ. O percentual, portanto, está correto e é incontroverso."</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VII, 1º parágrafo (planilha de fls. 3442)</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planilha de fls. 3442 e-SAJ foi juntada em cumprimento da decisão agravada, com ressalva expressa do agravo, e será substituída na origem por planilha retificada, observado o que for decidido neste recurso"</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peça não diz por que a planilha será substituída. O executado já a impugnou a fls. 3443/3446 e-SAJ (juros sobre o valor nominal em cruzados; taxa legal sobre os juros; multa de 9% já reduzida a 1% pelo AI 2236642). Item 3.5-A: a contradição com a petição da origem ("adequada quanto à multa processual") foi eliminada na v3.5; resta a omissão do motivo</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3442 e-SAJ (blocos 2 e 3: juros sobre 1.210.000,00 nominal; SELIC−IPCA sobre os juros; multa de 9%); fls. 3443/3446 e-SAJ; fls. 3350 e-SAJ (multa de 1%)</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agravado juntará a impugnação de fls. 3443/3446 na Câmara para dizer que os agravantes, mesmo sob ordem, repetiram "juros sobre juros" e cobraram multa de 9% já reduzida, reforçando o pedido de má-fé e a "reincidência" de fls. 3431/3432</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"…foi juntada em cumprimento da decisão agravada, com ressalva expressa do agravo (fls. 3441 e-SAJ), foi impugnada pelo executado (fls. 3443/3446 e-SAJ) e será substituída na origem por planilha retificada, com correção de erro material na base de incidência dos juros e com a multa processual de 1% fixada por esta Câmara (fls. 3350 e-SAJ), sob a mesma reserva." Na petição da origem, citar "planilha de fls. 3442 e-SAJ" (a fls. 3443 é a petição do executado) e repetir a reserva no corpo do item</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V, parágrafo final; item 3.8 (contraminuta, fls. 103 do AI)</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(ausência)</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contraminuta afirma, a fls. 103 do AI, que os próprios agravantes apresentaram planilhas com valores menores que o de 1995, o que tornaria "insubsistente" a alegação de estabilidade por três décadas. A v3.5 responde só à planilha de fls. 3077/3078; não responde ao ponto das planilhas anteriores (2007 a 2025, todas desde Cz$ 1.210.000,00), que a Relatora encontra a fls. 3041 e-SAJ ("Os exequente apresentaram cálculo, a fls. 1947/1948, partindo do valor original de cz$ 1.210.000,00")</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Contraminuta, fls. 103 do AI; fls. 3041 e-SAJ; fls. 2137/2139 e-SAJ / CP 600/602 / fls. 148/150 física (Santander, "por mera liberalidade")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Relatora, ao ler fls. 3041 citada pela própria peça (Seção VI), verá que o credor calculou desde 1987 por anos; sem resposta, o venire fica implícito e sem contraponto</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Acrescentar uma frase ao fim da Seção V: "As planilhas apresentadas pelos credores ao longo da execução, por ordem judicial ou para instruir praças, nunca foram homologadas ('não houve apresentação de nova conta de atualização do débito com homologação deste Juízo', fls. 3041 e-SAJ), e renúncia a crédito não se presume nem se interpreta ampliativamente (art. 114 do Código Civil)." Não ir além disso</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Pedido (e)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homologação da desistência do pedido 'f' das razões recursais (art. 998 do CPC), diante do interesse dos agravantes no prosseguimento dos atos expropriatórios, já requerido na origem (fls. 3441 e-SAJ)"</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localizei, na camada de texto de fls. 3441 e-SAJ, pedido de prosseguimento dos atos expropriatórios; o pedido de nova praça está a fls. 3394 e-SAJ (05/03/2026), registrado na decisão agravada (fls. 3436 e-SAJ: "Requereram, ainda, a imediata designação de nova praça"), e a intimação do leiloeiro a fls. 3077 e-SAJ. A desistência parcial independe de homologação e de anuência (art. 998, caput)</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3436 e-SAJ, 1º parágrafo; fls. 3077 e-SAJ; fls. 3441 e-SAJ (camada de texto)</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Folha citada sem o conteúdo afirmado; a Relatora não encontra o pedido em fls. 3441</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"…diante do interesse dos agravantes no prosseguimento dos atos expropriatórios, já requerido na origem (fls. 3077 e 3394 e-SAJ, como registra a decisão agravada a fls. 3436)". Se o pedido (e) não for adotado, suprimir da petição da origem o pedido de reiteração da praça, incompatível com o pedido "f" (fls. 17/18 do AI)</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II, 1º parágrafo</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"apensados em 14/04/1988 (fls. 69 e-SAJ / física: carimbo sobreposto)"</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Na leitura em imagem feita em 27/09/2026 (auditoria v5, Bloco H4), a folha física de fls. 69 e-SAJ foi lida como 36</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Auditoria pente-fino v5, H4 ("69→36, certidão de apensamento dos embargos, 14/04/1988"), conferida em imagem</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Folha física omitida onde há carimbo legível; inconsistência com a convenção da própria peça</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69 e-SAJ / fls. 36 física)"</w:t>
            </w:r>
          </w:p>
        </w:tc>
      </w:tr>
      <w:tr>
        <w:trPr>
          <w:cantSplit/>
          <w:tblHeader w:val="false"/>
        </w:trPr>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w:t>
            </w:r>
          </w:p>
        </w:tc>
        <w:tc>
          <w:tcPr>
            <w:tcW w:type="dxa" w:w="3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VI (conjunto) e item 3.13</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preclusão invocada não alcança a base homologada em 1995" (título)</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Resultado da simulação: a v3.5 enfrenta os dois fundamentos previstos (preclusão de fls. 3066: três razões da Seção VI; coisa julgada como inovação: parágrafo 6º da Seção III). Faltam três coisas: (a) enfrentar de frente o AgInt no REsp 1.455.741/DF (4ª T., Rel. Min. Raul Araújo, 2020), o precedente que a Relatora tende a usar, com o seu gume favorável (o executado não agravou da homologação de 1995); (b) responder ao EREsp 1.946.826/SP (item 4); (c) a "Primeira" razão, como está, é a mais fraca e a que a decisão agravada desmente</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1.455.741/DF (lido na v4: "A decisão que delimita os cálculos e determina o envio dos autos à contadoria (…) sujeita-se a agravo de instrumento, sob pena de preclusão"); EREsp 1.946.826/SP</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Relatora aplica o 1.455.741 a fls. 3066 e dá o agravo por prejudicado quanto à base, sem examinar a coisa julgada</w:t>
            </w:r>
          </w:p>
        </w:tc>
        <w:tc>
          <w:tcPr>
            <w:tcW w:type="dxa" w:w="23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Acrescentar à "Terceira" razão: "O entendimento de que a decisão que delimita cálculos preclui se não agravada (STJ, AgInt no REsp 1.455.741/DF, 4ª Turma, Rel. Min. Raul Araújo, j. 01/06/2020) opera aqui em favor dos agravantes: a primeira decisão que delimitou o cálculo, com vista às partes e homologação, é a de 1995, da qual o executado não recorreu (fls. 169, 203 e 204 e-SAJ / fls. 126, 152 e verso, física). Uma decisão posterior que a contraria não se estabiliza contra a anterior: é ela a reapreciação vedada pelo art. 505 do CPC."</w:t>
            </w:r>
          </w:p>
        </w:tc>
      </w:tr>
    </w:tbl>
    <w:p>
      <w:pPr>
        <w:spacing w:after="120"/>
      </w:pPr>
    </w:p>
    <w:p>
      <w:pPr>
        <w:spacing w:after="40" w:line="276"/>
        <w:jc w:val="center"/>
      </w:pPr>
      <w:r>
        <w:rPr>
          <w:rFonts w:ascii="Times New Roman" w:cs="Times New Roman" w:eastAsia="Times New Roman" w:hAnsi="Times New Roman"/>
          <w:b/>
          <w:bCs/>
          <w:i w:val="false"/>
          <w:iCs w:val="false"/>
        </w:rPr>
        <w:t xml:space="preserve">Itens que não pude verificar:</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Paginação interna do agravo protocolado ("fls. 4/6", "fls. 7/8" do AI, e também fls. 2/3 e 13/15): o PDF de 112 páginas está acima do limite de 10 MB do conector. A minuta integral foi lida; o item IV.1-C (fidelidade ao título, art. 509, § 4º) existe.</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Fls. 3075 e-SAJ (publicação de fls. 3064/3066) e fls. 3045/3063 e-SAJ (embargos de declaração do executado e eventual intimação dos exequentes): não estão nos arquivos lidos; afetam o item 5.</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Fls. 3441 e-SAJ: lida só na camada de texto; a folha física é n/d (peça digital). Afeta o item 13.</w:t>
      </w:r>
    </w:p>
    <w:p>
      <w:pPr>
        <w:spacing w:after="40" w:line="276"/>
        <w:jc w:val="center"/>
      </w:pPr>
      <w:r>
        <w:rPr>
          <w:rFonts w:ascii="Times New Roman" w:cs="Times New Roman" w:eastAsia="Times New Roman" w:hAnsi="Times New Roman"/>
          <w:b/>
          <w:bCs/>
          <w:i w:val="false"/>
          <w:iCs w:val="false"/>
        </w:rPr>
        <w:t xml:space="preserve">Páginas lidas:</w:t>
      </w:r>
      <w:r>
        <w:rPr>
          <w:rFonts w:ascii="Times New Roman" w:cs="Times New Roman" w:eastAsia="Times New Roman" w:hAnsi="Times New Roman"/>
          <w:b w:val="false"/>
          <w:bCs w:val="false"/>
          <w:i w:val="false"/>
          <w:iCs w:val="false"/>
        </w:rPr>
        <w:t xml:space="preserve"> Manifestação v3.5: 100% (11 seções, folha de controle e 3 tabelas). Prompt v.3: 77 de 77 linhas. AgInt na ExeMS 4.146/DF: 10 de 10. REsp 1.915.192/SP: 8 de 8. REsp 2.102.254/PE: 11 de 11. REsp 2.153.755/RS: 10 de 10. EDcl no AREsp 2.837.221/SP: 15 de 15 (texto extraído e buscado; ementa, acórdão e trechos do voto lidos). EREsp 1.946.826/SP: 6 de 25 (ementa, acórdão, relatório e início do voto). AgInt nos EDcl no REsp 1.930.477/PR: ementa, acórdão e termo (3 de 50), mais busca no voto. REsp 2.018.575/PR: 14 de 14 (busca dos trechos). REsp 1.655.655/SP: 10 de 10 (busca dos trechos). Contraminuta: 17 de 17 (leitura anterior, em imagem). Minuta do agravo: integral. Folhas da origem: 3041, 3435/3437, 3441/3452, 3345/3351, 3422/3434, 2144/2184, 203/204, 165/183, 1419/1421 (leituras anteriores nesta sessão).</w:t>
      </w:r>
    </w:p>
    <w:sectPr>
      <w:headerReference w:type="default" r:id="rId7"/>
      <w:footerReference w:type="default" r:id="rId8"/>
      <w:pgSz w:w="16838" w:h="11906" w:orient="landscape"/>
      <w:pgMar w:top="1701" w:right="1134" w:bottom="1134" w:left="1134" w:header="709"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Documento de trabalho — uso restrito da parte e de seu advogado   |   Página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de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rFonts w:ascii="Times New Roman" w:cs="Times New Roman" w:eastAsia="Times New Roman" w:hAnsi="Times New Roman"/>
        <w:color w:val="595959"/>
        <w:sz w:val="18"/>
        <w:szCs w:val="18"/>
      </w:rPr>
      <w:t xml:space="preserve">Auditoria adversarial — Manifestação sobre a contraminuta v3.5 — AI nº 2186351-42.2026.8.26.0000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lvl w:ilvl="2" w15:tentative="1">
      <w:start w:val="1"/>
      <w:numFmt w:val="bullet"/>
      <w:lvlText w:val="▪"/>
      <w:lvlJc w:val="left"/>
      <w:pPr>
        <w:ind w:left="1701" w:hanging="283"/>
      </w:pPr>
    </w:lvl>
  </w:abstractNum>
  <w:abstractNum w:abstractNumId="3"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80" w:before="360"/>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de Auditoria Jurídico-Processual — AI 2186351-42.2026.8.26.0000</dc:title>
  <dc:creator>Parecer técnico</dc:creator>
  <cp:lastModifiedBy>Un-named</cp:lastModifiedBy>
  <cp:revision>1</cp:revision>
  <dcterms:created xsi:type="dcterms:W3CDTF">2026-09-29T13:12:51.421Z</dcterms:created>
  <dcterms:modified xsi:type="dcterms:W3CDTF">2026-09-29T13:12:51.429Z</dcterms:modified>
</cp:coreProperties>
</file>

<file path=docProps/custom.xml><?xml version="1.0" encoding="utf-8"?>
<Properties xmlns="http://schemas.openxmlformats.org/officeDocument/2006/custom-properties" xmlns:vt="http://schemas.openxmlformats.org/officeDocument/2006/docPropsVTypes"/>
</file>