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4B4B4B"/>
          <w:sz w:val="30"/>
          <w:szCs w:val="30"/>
        </w:rPr>
        <w:t xml:space="preserve">METODOLOGIA PADRÃO DE ANÁLISE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24"/>
          <w:szCs w:val="24"/>
        </w:rPr>
        <w:t xml:space="preserve">Como o observatório lê, testa e classifica as propostas legislativas ambientais</w:t>
      </w:r>
    </w:p>
    <w:p>
      <w:pPr>
        <w:spacing w:after="160"/>
      </w:pPr>
      <w:r>
        <w:rPr>
          <w:rFonts w:ascii="Arial" w:cs="Arial" w:eastAsia="Arial" w:hAnsi="Arial"/>
          <w:color w:val="7A847E"/>
          <w:sz w:val="18"/>
          <w:szCs w:val="18"/>
        </w:rPr>
        <w:t xml:space="preserve">Versão do método 1.0 · outubro de 2026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1. Para que serve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Qualificar o debate com método científico padronizado: descrição do ato normativo, exposição do problema, hipótese, dados, cenários e soluções, sempre na mesma ordem, para que qualquer análise possa ser comparada com outra e conferida por quem discorda.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Toda análise é escrita e assinada pelo autor indicado, que responde por ela. A automação só captura e organiza dados e textos oficiais (proposições, versões, tramitação, votações, texto vigente das leis); nunca escreve, resume, compara ou interpreta.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2. Os produtos e como se ligam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4726"/>
      </w:tblGrid>
      <w:tr>
        <w:trPr>
          <w:tblHeader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Produto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Para quem</w:t>
            </w:r>
          </w:p>
        </w:tc>
        <w:tc>
          <w:tcPr>
            <w:tcW w:type="dxa" w:w="47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 que traz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Resumo prévio (site)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Qualquer leitor</w:t>
            </w:r>
          </w:p>
        </w:tc>
        <w:tc>
          <w:tcPr>
            <w:tcW w:type="dxa" w:w="47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Aberto a todos: texto base (literal, com o como é hoje × como fica da lei alterada), síntese, objeto e alcance, regime vigente e proposta, classificação, relevância, pontos de atenção e tramitação.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Parecer técnico (PDF)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Quem decide, imprensa, pesquisa</w:t>
            </w:r>
          </w:p>
        </w:tc>
        <w:tc>
          <w:tcPr>
            <w:tcW w:type="dxa" w:w="47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 análise completa em 3 páginas: texto base, leitura do cotejo, problema, hipóteses, impactos, cenários, soluções, casos, conclusão e limitações.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Quadro comparativo (PDF)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Quem quer conferir</w:t>
            </w:r>
          </w:p>
        </w:tc>
        <w:tc>
          <w:tcPr>
            <w:tcW w:type="dxa" w:w="47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A. cotejo literal artigo por artigo; B. testagem das hipóteses; C. comparação de potencialidades entre cenários, com gráficos.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Planilha de hipóteses e gráficos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Uso interno do autor</w:t>
            </w:r>
          </w:p>
        </w:tc>
        <w:tc>
          <w:tcPr>
            <w:tcW w:type="dxa" w:w="47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Os números da testagem e dos cenários; gera os gráficos do quadro com as cores padrão.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</w:rPr>
        <w:t xml:space="preserve"/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A cadeia de coerência é sempre a mesma: hipóteses (parecer técnico, parte 6) → testagem (quadro, parte B) → comparação de cenários (quadro, parte C) → conclusão (parecer técnico, parte 11) → classificação publicada no resumo prévio. Um elo que muda obriga a revisar os seguintes.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3. Etapas e prazos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4B4B4B"/>
          <w:sz w:val="21"/>
          <w:szCs w:val="21"/>
        </w:rPr>
        <w:t xml:space="preserve">Monitoramento diário das fontes oficiais (automático).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4B4B4B"/>
          <w:sz w:val="21"/>
          <w:szCs w:val="21"/>
        </w:rPr>
        <w:t xml:space="preserve">Triagem: o dicionário de palavras-chave sugere; o autor decide o que entra, o que é só acompanhado e o que sai.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4B4B4B"/>
          <w:sz w:val="21"/>
          <w:szCs w:val="21"/>
        </w:rPr>
        <w:t xml:space="preserve">Dossiê: texto integral, versões, tramitação, autores e texto vigente da lei alterada (automático).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4B4B4B"/>
          <w:sz w:val="21"/>
          <w:szCs w:val="21"/>
        </w:rPr>
        <w:t xml:space="preserve">Análise e redação pelo autor, nos modelos fixos.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4B4B4B"/>
          <w:sz w:val="21"/>
          <w:szCs w:val="21"/>
        </w:rPr>
        <w:t xml:space="preserve">Publicação em até 4 dias da saída da proposta (ou da nova versão do texto).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4B4B4B"/>
          <w:sz w:val="21"/>
          <w:szCs w:val="21"/>
        </w:rPr>
        <w:t xml:space="preserve">Atualização: texto mudou, o resumo prévio e o parecer técnico ganham nova versão com "o que mudou"; o histórico fica público.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4. Leitura do texto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Texto base. </w:t>
      </w:r>
      <w:r>
        <w:rPr>
          <w:rFonts w:ascii="Arial" w:cs="Arial" w:eastAsia="Arial" w:hAnsi="Arial"/>
          <w:color w:val="4B4B4B"/>
          <w:sz w:val="21"/>
          <w:szCs w:val="21"/>
        </w:rPr>
        <w:t xml:space="preserve">Transcrição literal do arquivo oficial, sem edição, sempre com a versão e a data analisadas.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Lei alterada. </w:t>
      </w:r>
      <w:r>
        <w:rPr>
          <w:rFonts w:ascii="Arial" w:cs="Arial" w:eastAsia="Arial" w:hAnsi="Arial"/>
          <w:color w:val="4B4B4B"/>
          <w:sz w:val="21"/>
          <w:szCs w:val="21"/>
        </w:rPr>
        <w:t xml:space="preserve">Redação vigente tirada da compilação oficial (normas.leg.br para leis federais; texto conferido pela equipe para as estaduais), ao lado da redação proposta.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Divergência. </w:t>
      </w:r>
      <w:r>
        <w:rPr>
          <w:rFonts w:ascii="Arial" w:cs="Arial" w:eastAsia="Arial" w:hAnsi="Arial"/>
          <w:color w:val="4B4B4B"/>
          <w:sz w:val="21"/>
          <w:szCs w:val="21"/>
        </w:rPr>
        <w:t xml:space="preserve">Valem sempre as fontes oficiais. Os documentos dizem isso expressamente.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5. Classificação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5.1 Caráter: para que lado a proposta move a proteção ambiental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Caráter</w:t>
            </w:r>
          </w:p>
        </w:tc>
        <w:tc>
          <w:tcPr>
            <w:tcW w:type="dxa" w:w="66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Quando usar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Maléfico</w:t>
            </w:r>
          </w:p>
        </w:tc>
        <w:tc>
          <w:tcPr>
            <w:tcW w:type="dxa" w:w="66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Reduz ou retira proteção existente de forma direta: dispensa estudo, libera atividade antes proibida, diminui área protegida.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Enfraquece indiretamente</w:t>
            </w:r>
          </w:p>
        </w:tc>
        <w:tc>
          <w:tcPr>
            <w:tcW w:type="dxa" w:w="66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Não muda a proteção de forma direta, mas cria condições para o dano: corta fiscalização ou orçamento, amplia prazos, cria exceções que dependem de regulamento.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Neutro</w:t>
            </w:r>
          </w:p>
        </w:tc>
        <w:tc>
          <w:tcPr>
            <w:tcW w:type="dxa" w:w="66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Organiza procedimentos, cria datas comemorativas ou ajusta regras sem mudar o nível de proteção.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Benéfico</w:t>
            </w:r>
          </w:p>
        </w:tc>
        <w:tc>
          <w:tcPr>
            <w:tcW w:type="dxa" w:w="66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Amplia ou cria proteção: novas áreas protegidas, metas de recuperação, regras mais rigorosas, mais transparência.</w:t>
            </w:r>
          </w:p>
        </w:tc>
      </w:tr>
    </w:tbl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5.2 Impacto: o tamanho do efeito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Impacto</w:t>
            </w:r>
          </w:p>
        </w:tc>
        <w:tc>
          <w:tcPr>
            <w:tcW w:type="dxa" w:w="66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Quando usar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Alto</w:t>
            </w:r>
          </w:p>
        </w:tc>
        <w:tc>
          <w:tcPr>
            <w:tcW w:type="dxa" w:w="66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Atinge um bioma inteiro, uma norma geral (como o licenciamento) ou muitas pessoas; ou o dano é difícil de reverter.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Médio</w:t>
            </w:r>
          </w:p>
        </w:tc>
        <w:tc>
          <w:tcPr>
            <w:tcW w:type="dxa" w:w="66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Efeito regional ou setorial, com possibilidade de correção por regulamento ou fiscalização.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Baixo</w:t>
            </w:r>
          </w:p>
        </w:tc>
        <w:tc>
          <w:tcPr>
            <w:tcW w:type="dxa" w:w="66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Efeito local, pontual ou só procedimental.</w:t>
            </w:r>
          </w:p>
        </w:tc>
      </w:tr>
    </w:tbl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Na dúvida entre dois níveis, usa-se o mais alto e explica-se o motivo.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6. Cotejo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Pontos principais (3 a 5) no formato regime vigente × proposta, cada lado como enunciado objetivo, sem adjetivos, com o efeito na proteção ambiental: ↑ amplia, ↓ reduz, = sem efeito direto. O detalhe artigo por artigo vai no quadro comparativo, parte A, só com transcrição.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7. Hipóteses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Formato. </w:t>
      </w:r>
      <w:r>
        <w:rPr>
          <w:rFonts w:ascii="Arial" w:cs="Arial" w:eastAsia="Arial" w:hAnsi="Arial"/>
          <w:color w:val="4B4B4B"/>
          <w:sz w:val="21"/>
          <w:szCs w:val="21"/>
        </w:rPr>
        <w:t xml:space="preserve">"Se aprovada, a proposta tende a produzir [efeito], porque [mecanismo]."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Indicador. </w:t>
      </w:r>
      <w:r>
        <w:rPr>
          <w:rFonts w:ascii="Arial" w:cs="Arial" w:eastAsia="Arial" w:hAnsi="Arial"/>
          <w:color w:val="4B4B4B"/>
          <w:sz w:val="21"/>
          <w:szCs w:val="21"/>
        </w:rPr>
        <w:t xml:space="preserve">O que medir e onde (fonte, unidade, ano da linha de base).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Sentido e limiar. </w:t>
      </w:r>
      <w:r>
        <w:rPr>
          <w:rFonts w:ascii="Arial" w:cs="Arial" w:eastAsia="Arial" w:hAnsi="Arial"/>
          <w:color w:val="4B4B4B"/>
          <w:sz w:val="21"/>
          <w:szCs w:val="21"/>
        </w:rPr>
        <w:t xml:space="preserve">Aumento ou redução, e a variação que sustenta a hipótese, fixados antes de olhar o resultado.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Quantidade. </w:t>
      </w:r>
      <w:r>
        <w:rPr>
          <w:rFonts w:ascii="Arial" w:cs="Arial" w:eastAsia="Arial" w:hAnsi="Arial"/>
          <w:color w:val="4B4B4B"/>
          <w:sz w:val="21"/>
          <w:szCs w:val="21"/>
        </w:rPr>
        <w:t xml:space="preserve">De 1 a 3 por parecer técnico. Opinião, valor ou desejo não são hipóteses: precisam poder ser derrubadas por um dado.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8. Testagem e confiança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Resultado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Critério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Sustentada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Atinge o limiar no sentido esperado, com evidência de confiança alta ou média.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Sustentada em parte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Atinge ao menos metade do limiar, ou o limiar só com evidência de confiança baixa.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Não sustentada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Fica abaixo da metade do limiar ou vai no sentido contrário.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Inconclusiva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Falta dado ou caso comparável. Dizer o que faltou e como obter.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Confiança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Quando usar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Alta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Dado oficial com série histórica, ou estudo revisado por pares aplicável ao caso.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Média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Dado oficial parcial, ou caso comparável de outra jurisdição.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Baixa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Estimativa, caso único, ou dado sem método publicado.</w:t>
            </w:r>
          </w:p>
        </w:tc>
      </w:tr>
    </w:tbl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A planilha sugere o resultado pelo critério; o resultado que vale é o do autor, com a justificativa em uma linha.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9. Cenários e potencialidades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Cenários fixos. </w:t>
      </w:r>
      <w:r>
        <w:rPr>
          <w:rFonts w:ascii="Arial" w:cs="Arial" w:eastAsia="Arial" w:hAnsi="Arial"/>
          <w:color w:val="4B4B4B"/>
          <w:sz w:val="21"/>
          <w:szCs w:val="21"/>
        </w:rPr>
        <w:t xml:space="preserve">A. referência (a proposta não é aprovada); B. aprovada como está; C. aprovada com os ajustes recomendados. Premissas escritas, mesmo indicador da H1, mesmo horizonte (padrão: 5 anos).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Potencialidades. </w:t>
      </w:r>
      <w:r>
        <w:rPr>
          <w:rFonts w:ascii="Arial" w:cs="Arial" w:eastAsia="Arial" w:hAnsi="Arial"/>
          <w:color w:val="4B4B4B"/>
          <w:sz w:val="21"/>
          <w:szCs w:val="21"/>
        </w:rPr>
        <w:t xml:space="preserve">Direção do efeito de B e C em relação a A, de −2 (piora muito) a +2 (melhora muito), em quatro dimensões fixas: ambiental, social, econômica, institucional e fiscal. Magnitude, prazo e reversibilidade vão no parecer técnico (parte 7).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10. Gráficos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Gráfico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1. Trajetória com limiar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Linhas do indicador da H1 por cenário ao longo do horizonte, com a linha do limiar. Mostra se e quando cada cenário cruza o limiar.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2. Potencialidades por dimensão</w:t>
            </w:r>
          </w:p>
        </w:tc>
        <w:tc>
          <w:tcPr>
            <w:tcW w:type="dxa" w:w="6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Barras de B e C a partir do zero (cenário A), de −2 a +2, uma faixa por dimensão.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</w:rPr>
        <w:t xml:space="preserve"/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Cores fixas dos cenários: A azul #2A78D6, B laranja #EB6834, C verde-água #1BAF7A; limiar em cinza #8A8984. Testadas para leitura por pessoas com daltonismo.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Um eixo só (nunca dois eixos verticais). Barras começam no zero. Sem 3D, sem sombra, grade clara.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Valor rotulado no fim de cada linha ou barra, e a tabela de dados junto do gráfico.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Abaixo de cada gráfico: fonte, ano e premissas. Dado fictício nunca é publicado.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11. Fontes e evidências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Ordem de preferência: fontes oficiais (casas legislativas, diários oficiais, órgãos ambientais, IBGE, INPE); estudos revisados por pares; dados de organizações com método publicado; imprensa só para contexto, nunca como dado.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12. Fundamentos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Análise de Impacto Regulatório: Decreto nº 10.411/2020 (problema, objetivos, alternativas, impactos, comparação).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Consequências práticas da decisão: art. 20 da LINDB, incluído pela Lei nº 13.655/2018.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Boas práticas regulatórias da OCDE: avaliação baseada em evidências e transparente.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Técnica legislativa: Lei Complementar nº 95/1998 (como as alterações são redigidas e lidas).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Proteção ambiental: art. 225 da Constituição e competências da LC nº 140/2011.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13. Versões, correções e rastreabilidade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Cada resumo prévio e cada parecer técnico informam a versão do texto analisado. Os PDFs saem carimbados em cada página com a identificação (versão, texto analisado, autor), o link permanente e um QR que levam à versão atual no site. Correções são registradas publicamente na página do resumo prévio.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14. Antes de publicar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Texto base e versão analisada conferidos com a fonte oficial.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Hipóteses com indicador, sentido e limiar fixados antes da testagem.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Resultado de cada hipótese na conclusão, coerente com o quadro (parte B).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Gráficos com cores padrão, fonte e ano; nenhum dado fictício.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Classificação (caráter e impacto) justificada em uma linha cada.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Limitações escritas: o que não foi possível verificar e por quê.</w:t>
      </w:r>
    </w:p>
    <w:p>
      <w:pPr>
        <w:spacing w:before="200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O método é público e pode ser revisto. Mudanças geram nova versão desta metodologia, com data.</w:t>
      </w:r>
    </w:p>
    <w:sectPr>
      <w:headerReference w:type="default" r:id="rId7"/>
      <w:footerReference w:type="default" r:id="rId8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847E"/>
        <w:sz w:val="16"/>
        <w:szCs w:val="16"/>
      </w:rPr>
      <w:t xml:space="preserve">Metodologia padrão de análise · página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47E"/>
        <w:sz w:val="16"/>
        <w:szCs w:val="16"/>
      </w:rPr>
      <w:t xml:space="preserve"> de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DD8" w:sz="4" w:space="4"/>
      </w:pBdr>
      <w:tabs>
        <w:tab w:val="right" w:pos="9026"/>
      </w:tabs>
    </w:pPr>
    <w:r>
      <w:drawing>
        <wp:inline distT="0" distB="0" distL="0" distR="0">
          <wp:extent cx="11239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7A847E"/>
        <w:sz w:val="16"/>
        <w:szCs w:val="16"/>
      </w:rPr>
      <w:t xml:space="preserve">	Metodologia padrão de análise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B4B4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73e8999b052b506d3c733073c1e9ee76254389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Metodologia padrão de análise</dc:title>
  <dc:creator>ênfase jur</dc:creator>
  <cp:lastModifiedBy>Un-named</cp:lastModifiedBy>
  <cp:revision>1</cp:revision>
  <dcterms:created xsi:type="dcterms:W3CDTF">2026-10-30T13:40:39.666Z</dcterms:created>
  <dcterms:modified xsi:type="dcterms:W3CDTF">2026-10-30T13:40:39.666Z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