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4B4B4B"/>
          <w:sz w:val="30"/>
          <w:szCs w:val="30"/>
        </w:rPr>
        <w:t xml:space="preserve">METODOLOGIA PADRÃO DE ANÁLISE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7A847E"/>
          <w:sz w:val="24"/>
          <w:szCs w:val="24"/>
        </w:rPr>
        <w:t xml:space="preserve">Como o observatório lê, testa e classifica as propostas legislativas ambientais</w:t>
      </w:r>
    </w:p>
    <w:p>
      <w:pPr>
        <w:spacing w:after="160"/>
      </w:pPr>
      <w:r>
        <w:rPr>
          <w:rFonts w:ascii="Arial" w:cs="Arial" w:eastAsia="Arial" w:hAnsi="Arial"/>
          <w:color w:val="7A847E"/>
          <w:sz w:val="18"/>
          <w:szCs w:val="18"/>
        </w:rPr>
        <w:t xml:space="preserve">Versão do método 1.0 · outubro de 2026</w:t>
      </w:r>
    </w:p>
    <w:p>
      <w:pPr>
        <w:pStyle w:val="Heading1"/>
        <w:pBdr>
          <w:bottom w:val="single" w:color="D5DDD8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23864F"/>
          <w:sz w:val="24"/>
          <w:szCs w:val="24"/>
        </w:rPr>
        <w:t xml:space="preserve">1. Para que serve</w:t>
      </w:r>
    </w:p>
    <w:p>
      <w:pPr>
        <w:spacing w:after="80" w:line="276"/>
      </w:pPr>
      <w:r>
        <w:rPr>
          <w:rFonts w:ascii="Arial" w:cs="Arial" w:eastAsia="Arial" w:hAnsi="Arial"/>
          <w:color w:val="4B4B4B"/>
          <w:sz w:val="21"/>
          <w:szCs w:val="21"/>
        </w:rPr>
        <w:t xml:space="preserve">Qualificar o debate com método científico padronizado: descrição do ato normativo, exposição do problema, hipótese, dados, cenários e soluções, sempre na mesma ordem, para que qualquer análise possa ser comparada com outra e conferida por quem discorda.</w:t>
      </w:r>
    </w:p>
    <w:p>
      <w:pPr>
        <w:spacing w:after="80" w:line="276"/>
      </w:pPr>
      <w:r>
        <w:rPr>
          <w:rFonts w:ascii="Arial" w:cs="Arial" w:eastAsia="Arial" w:hAnsi="Arial"/>
          <w:color w:val="4B4B4B"/>
          <w:sz w:val="21"/>
          <w:szCs w:val="21"/>
        </w:rPr>
        <w:t xml:space="preserve">Toda análise é escrita e assinada pelo autor indicado, que responde por ela. A automação só captura e organiza dados e textos oficiais (proposições, versões, tramitação, votações, texto vigente das leis); nunca escreve, resume, compara ou interpreta.</w:t>
      </w:r>
    </w:p>
    <w:p>
      <w:pPr>
        <w:pStyle w:val="Heading1"/>
        <w:pBdr>
          <w:bottom w:val="single" w:color="D5DDD8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23864F"/>
          <w:sz w:val="24"/>
          <w:szCs w:val="24"/>
        </w:rPr>
        <w:t xml:space="preserve">2. Os produtos e como se ligam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4726"/>
      </w:tblGrid>
      <w:tr>
        <w:trPr>
          <w:tblHeader/>
        </w:trPr>
        <w:tc>
          <w:tcPr>
            <w:tcW w:type="dxa" w:w="20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Produto</w:t>
            </w:r>
          </w:p>
        </w:tc>
        <w:tc>
          <w:tcPr>
            <w:tcW w:type="dxa" w:w="23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Para quem</w:t>
            </w:r>
          </w:p>
        </w:tc>
        <w:tc>
          <w:tcPr>
            <w:tcW w:type="dxa" w:w="472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O que traz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4B4B4B"/>
                <w:sz w:val="18"/>
                <w:szCs w:val="18"/>
              </w:rPr>
              <w:t xml:space="preserve">Parecer no site</w:t>
            </w:r>
          </w:p>
        </w:tc>
        <w:tc>
          <w:tcPr>
            <w:tcW w:type="dxa" w:w="23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4B4B4B"/>
                <w:sz w:val="18"/>
                <w:szCs w:val="18"/>
              </w:rPr>
              <w:t xml:space="preserve">Qualquer leitor</w:t>
            </w:r>
          </w:p>
        </w:tc>
        <w:tc>
          <w:tcPr>
            <w:tcW w:type="dxa" w:w="472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4B4B4B"/>
                <w:sz w:val="18"/>
                <w:szCs w:val="18"/>
              </w:rPr>
              <w:t xml:space="preserve">Parecer prévio: texto base (literal, com o como é hoje × como fica da lei alterada), síntese, objeto e alcance, regime vigente e proposta, classificação, relevância, pontos de atenção e tramitação.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4B4B4B"/>
                <w:sz w:val="18"/>
                <w:szCs w:val="18"/>
              </w:rPr>
              <w:t xml:space="preserve">Nota técnica (PDF)</w:t>
            </w:r>
          </w:p>
        </w:tc>
        <w:tc>
          <w:tcPr>
            <w:tcW w:type="dxa" w:w="23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4B4B4B"/>
                <w:sz w:val="18"/>
                <w:szCs w:val="18"/>
              </w:rPr>
              <w:t xml:space="preserve">Quem decide, imprensa, pesquisa</w:t>
            </w:r>
          </w:p>
        </w:tc>
        <w:tc>
          <w:tcPr>
            <w:tcW w:type="dxa" w:w="472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4B4B4B"/>
                <w:sz w:val="18"/>
                <w:szCs w:val="18"/>
              </w:rPr>
              <w:t xml:space="preserve">O parecer completo em 3 páginas de análise: texto base, leitura do cotejo, problema, hipóteses, impactos, cenários, soluções, casos, conclusão e limitações.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4B4B4B"/>
                <w:sz w:val="18"/>
                <w:szCs w:val="18"/>
              </w:rPr>
              <w:t xml:space="preserve">Quadro comparativo (PDF)</w:t>
            </w:r>
          </w:p>
        </w:tc>
        <w:tc>
          <w:tcPr>
            <w:tcW w:type="dxa" w:w="23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4B4B4B"/>
                <w:sz w:val="18"/>
                <w:szCs w:val="18"/>
              </w:rPr>
              <w:t xml:space="preserve">Quem quer conferir</w:t>
            </w:r>
          </w:p>
        </w:tc>
        <w:tc>
          <w:tcPr>
            <w:tcW w:type="dxa" w:w="472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4B4B4B"/>
                <w:sz w:val="18"/>
                <w:szCs w:val="18"/>
              </w:rPr>
              <w:t xml:space="preserve">A. cotejo literal artigo por artigo; B. testagem das hipóteses; C. comparação de potencialidades entre cenários, com gráficos.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4B4B4B"/>
                <w:sz w:val="18"/>
                <w:szCs w:val="18"/>
              </w:rPr>
              <w:t xml:space="preserve">Planilha de hipóteses e gráficos</w:t>
            </w:r>
          </w:p>
        </w:tc>
        <w:tc>
          <w:tcPr>
            <w:tcW w:type="dxa" w:w="23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4B4B4B"/>
                <w:sz w:val="18"/>
                <w:szCs w:val="18"/>
              </w:rPr>
              <w:t xml:space="preserve">Uso interno do autor</w:t>
            </w:r>
          </w:p>
        </w:tc>
        <w:tc>
          <w:tcPr>
            <w:tcW w:type="dxa" w:w="472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4B4B4B"/>
                <w:sz w:val="18"/>
                <w:szCs w:val="18"/>
              </w:rPr>
              <w:t xml:space="preserve">Os números da testagem e dos cenários; gera os gráficos do quadro com as cores padrão.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spacing w:after="80" w:line="276"/>
      </w:pPr>
      <w:r>
        <w:rPr>
          <w:rFonts w:ascii="Arial" w:cs="Arial" w:eastAsia="Arial" w:hAnsi="Arial"/>
          <w:color w:val="4B4B4B"/>
          <w:sz w:val="21"/>
          <w:szCs w:val="21"/>
        </w:rPr>
        <w:t xml:space="preserve">A cadeia de coerência é sempre a mesma: hipóteses (nota, parte 6) → testagem (quadro, parte B) → comparação de cenários (quadro, parte C) → conclusão (nota, parte 11) → classificação publicada no site. Um elo que muda obriga a revisar os seguintes.</w:t>
      </w:r>
    </w:p>
    <w:p>
      <w:pPr>
        <w:pStyle w:val="Heading1"/>
        <w:pBdr>
          <w:bottom w:val="single" w:color="D5DDD8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23864F"/>
          <w:sz w:val="24"/>
          <w:szCs w:val="24"/>
        </w:rPr>
        <w:t xml:space="preserve">3. Etapas e prazos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B4B4B"/>
          <w:sz w:val="21"/>
          <w:szCs w:val="21"/>
        </w:rPr>
        <w:t xml:space="preserve">Monitoramento diário das fontes oficiais (automático).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B4B4B"/>
          <w:sz w:val="21"/>
          <w:szCs w:val="21"/>
        </w:rPr>
        <w:t xml:space="preserve">Triagem: o dicionário de palavras-chave sugere; o autor decide o que entra, o que é só acompanhado e o que sai.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B4B4B"/>
          <w:sz w:val="21"/>
          <w:szCs w:val="21"/>
        </w:rPr>
        <w:t xml:space="preserve">Dossiê: texto integral, versões, tramitação, autores e texto vigente da lei alterada (automático).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B4B4B"/>
          <w:sz w:val="21"/>
          <w:szCs w:val="21"/>
        </w:rPr>
        <w:t xml:space="preserve">Análise e redação pelo autor, nos modelos fixos.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B4B4B"/>
          <w:sz w:val="21"/>
          <w:szCs w:val="21"/>
        </w:rPr>
        <w:t xml:space="preserve">Publicação em até 4 dias da saída da proposta (ou da nova versão do texto).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4B4B4B"/>
          <w:sz w:val="21"/>
          <w:szCs w:val="21"/>
        </w:rPr>
        <w:t xml:space="preserve">Atualização: texto mudou, o parecer ganha nova versão com "o que mudou"; o histórico fica público.</w:t>
      </w:r>
    </w:p>
    <w:p>
      <w:pPr>
        <w:pStyle w:val="Heading1"/>
        <w:pBdr>
          <w:bottom w:val="single" w:color="D5DDD8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23864F"/>
          <w:sz w:val="24"/>
          <w:szCs w:val="24"/>
        </w:rPr>
        <w:t xml:space="preserve">4. Leitura do texto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Texto base. </w:t>
      </w:r>
      <w:r>
        <w:rPr>
          <w:rFonts w:ascii="Arial" w:cs="Arial" w:eastAsia="Arial" w:hAnsi="Arial"/>
          <w:color w:val="4B4B4B"/>
          <w:sz w:val="21"/>
          <w:szCs w:val="21"/>
        </w:rPr>
        <w:t xml:space="preserve">Transcrição literal do arquivo oficial, sem edição, sempre com a versão e a data analisadas.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Lei alterada. </w:t>
      </w:r>
      <w:r>
        <w:rPr>
          <w:rFonts w:ascii="Arial" w:cs="Arial" w:eastAsia="Arial" w:hAnsi="Arial"/>
          <w:color w:val="4B4B4B"/>
          <w:sz w:val="21"/>
          <w:szCs w:val="21"/>
        </w:rPr>
        <w:t xml:space="preserve">Redação vigente tirada da compilação oficial (normas.leg.br para leis federais; texto conferido pela equipe para as estaduais), ao lado da redação proposta.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Divergência. </w:t>
      </w:r>
      <w:r>
        <w:rPr>
          <w:rFonts w:ascii="Arial" w:cs="Arial" w:eastAsia="Arial" w:hAnsi="Arial"/>
          <w:color w:val="4B4B4B"/>
          <w:sz w:val="21"/>
          <w:szCs w:val="21"/>
        </w:rPr>
        <w:t xml:space="preserve">Valem sempre as fontes oficiais. Os documentos dizem isso expressamente.</w:t>
      </w:r>
    </w:p>
    <w:p>
      <w:pPr>
        <w:pStyle w:val="Heading1"/>
        <w:pBdr>
          <w:bottom w:val="single" w:color="D5DDD8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23864F"/>
          <w:sz w:val="24"/>
          <w:szCs w:val="24"/>
        </w:rPr>
        <w:t xml:space="preserve">5. Classificação</w:t>
      </w:r>
    </w:p>
    <w:p>
      <w:pPr>
        <w:pStyle w:val="Heading2"/>
        <w:spacing w:after="40" w:before="120"/>
      </w:pPr>
      <w:r>
        <w:rPr>
          <w:rFonts w:ascii="Arial" w:cs="Arial" w:eastAsia="Arial" w:hAnsi="Arial"/>
          <w:b/>
          <w:bCs/>
          <w:color w:val="4B4B4B"/>
          <w:sz w:val="21"/>
          <w:szCs w:val="21"/>
        </w:rPr>
        <w:t xml:space="preserve">5.1 Caráter: para que lado a proposta move a proteção ambiental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Caráter</w:t>
            </w:r>
          </w:p>
        </w:tc>
        <w:tc>
          <w:tcPr>
            <w:tcW w:type="dxa" w:w="662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Quando usar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4B4B4B"/>
                <w:sz w:val="18"/>
                <w:szCs w:val="18"/>
              </w:rPr>
              <w:t xml:space="preserve">Maléfico</w:t>
            </w:r>
          </w:p>
        </w:tc>
        <w:tc>
          <w:tcPr>
            <w:tcW w:type="dxa" w:w="662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4B4B4B"/>
                <w:sz w:val="18"/>
                <w:szCs w:val="18"/>
              </w:rPr>
              <w:t xml:space="preserve">Reduz ou retira proteção existente de forma direta: dispensa estudo, libera atividade antes proibida, diminui área protegida.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4B4B4B"/>
                <w:sz w:val="18"/>
                <w:szCs w:val="18"/>
              </w:rPr>
              <w:t xml:space="preserve">Enfraquece indiretamente</w:t>
            </w:r>
          </w:p>
        </w:tc>
        <w:tc>
          <w:tcPr>
            <w:tcW w:type="dxa" w:w="662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4B4B4B"/>
                <w:sz w:val="18"/>
                <w:szCs w:val="18"/>
              </w:rPr>
              <w:t xml:space="preserve">Não muda a proteção de forma direta, mas cria condições para o dano: corta fiscalização ou orçamento, amplia prazos, cria exceções que dependem de regulamento.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4B4B4B"/>
                <w:sz w:val="18"/>
                <w:szCs w:val="18"/>
              </w:rPr>
              <w:t xml:space="preserve">Neutro</w:t>
            </w:r>
          </w:p>
        </w:tc>
        <w:tc>
          <w:tcPr>
            <w:tcW w:type="dxa" w:w="662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4B4B4B"/>
                <w:sz w:val="18"/>
                <w:szCs w:val="18"/>
              </w:rPr>
              <w:t xml:space="preserve">Organiza procedimentos, cria datas comemorativas ou ajusta regras sem mudar o nível de proteção.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4B4B4B"/>
                <w:sz w:val="18"/>
                <w:szCs w:val="18"/>
              </w:rPr>
              <w:t xml:space="preserve">Benéfico</w:t>
            </w:r>
          </w:p>
        </w:tc>
        <w:tc>
          <w:tcPr>
            <w:tcW w:type="dxa" w:w="662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4B4B4B"/>
                <w:sz w:val="18"/>
                <w:szCs w:val="18"/>
              </w:rPr>
              <w:t xml:space="preserve">Amplia ou cria proteção: novas áreas protegidas, metas de recuperação, regras mais rigorosas, mais transparência.</w:t>
            </w:r>
          </w:p>
        </w:tc>
      </w:tr>
    </w:tbl>
    <w:p>
      <w:pPr>
        <w:pStyle w:val="Heading2"/>
        <w:spacing w:after="40" w:before="120"/>
      </w:pPr>
      <w:r>
        <w:rPr>
          <w:rFonts w:ascii="Arial" w:cs="Arial" w:eastAsia="Arial" w:hAnsi="Arial"/>
          <w:b/>
          <w:bCs/>
          <w:color w:val="4B4B4B"/>
          <w:sz w:val="21"/>
          <w:szCs w:val="21"/>
        </w:rPr>
        <w:t xml:space="preserve">5.2 Impacto: o tamanho do efeito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Impacto</w:t>
            </w:r>
          </w:p>
        </w:tc>
        <w:tc>
          <w:tcPr>
            <w:tcW w:type="dxa" w:w="662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Quando usar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4B4B4B"/>
                <w:sz w:val="18"/>
                <w:szCs w:val="18"/>
              </w:rPr>
              <w:t xml:space="preserve">Alto</w:t>
            </w:r>
          </w:p>
        </w:tc>
        <w:tc>
          <w:tcPr>
            <w:tcW w:type="dxa" w:w="662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4B4B4B"/>
                <w:sz w:val="18"/>
                <w:szCs w:val="18"/>
              </w:rPr>
              <w:t xml:space="preserve">Atinge um bioma inteiro, uma norma geral (como o licenciamento) ou muitas pessoas; ou o dano é difícil de reverter.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4B4B4B"/>
                <w:sz w:val="18"/>
                <w:szCs w:val="18"/>
              </w:rPr>
              <w:t xml:space="preserve">Médio</w:t>
            </w:r>
          </w:p>
        </w:tc>
        <w:tc>
          <w:tcPr>
            <w:tcW w:type="dxa" w:w="662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4B4B4B"/>
                <w:sz w:val="18"/>
                <w:szCs w:val="18"/>
              </w:rPr>
              <w:t xml:space="preserve">Efeito regional ou setorial, com possibilidade de correção por regulamento ou fiscalização.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4B4B4B"/>
                <w:sz w:val="18"/>
                <w:szCs w:val="18"/>
              </w:rPr>
              <w:t xml:space="preserve">Baixo</w:t>
            </w:r>
          </w:p>
        </w:tc>
        <w:tc>
          <w:tcPr>
            <w:tcW w:type="dxa" w:w="662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4B4B4B"/>
                <w:sz w:val="18"/>
                <w:szCs w:val="18"/>
              </w:rPr>
              <w:t xml:space="preserve">Efeito local, pontual ou só procedimental.</w:t>
            </w:r>
          </w:p>
        </w:tc>
      </w:tr>
    </w:tbl>
    <w:p>
      <w:pPr>
        <w:spacing w:after="80" w:line="276"/>
      </w:pPr>
      <w:r>
        <w:rPr>
          <w:rFonts w:ascii="Arial" w:cs="Arial" w:eastAsia="Arial" w:hAnsi="Arial"/>
          <w:color w:val="4B4B4B"/>
          <w:sz w:val="21"/>
          <w:szCs w:val="21"/>
        </w:rPr>
        <w:t xml:space="preserve">Na dúvida entre dois níveis, usa-se o mais alto e explica-se o motivo.</w:t>
      </w:r>
    </w:p>
    <w:p>
      <w:pPr>
        <w:pStyle w:val="Heading1"/>
        <w:pBdr>
          <w:bottom w:val="single" w:color="D5DDD8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23864F"/>
          <w:sz w:val="24"/>
          <w:szCs w:val="24"/>
        </w:rPr>
        <w:t xml:space="preserve">6. Cotejo</w:t>
      </w:r>
    </w:p>
    <w:p>
      <w:pPr>
        <w:spacing w:after="80" w:line="276"/>
      </w:pPr>
      <w:r>
        <w:rPr>
          <w:rFonts w:ascii="Arial" w:cs="Arial" w:eastAsia="Arial" w:hAnsi="Arial"/>
          <w:color w:val="4B4B4B"/>
          <w:sz w:val="21"/>
          <w:szCs w:val="21"/>
        </w:rPr>
        <w:t xml:space="preserve">Pontos principais (3 a 5) no formato regime vigente × proposta, cada lado como enunciado objetivo, sem adjetivos, com o efeito na proteção ambiental: ↑ amplia, ↓ reduz, = sem efeito direto. O detalhe artigo por artigo vai no quadro comparativo, parte A, só com transcrição.</w:t>
      </w:r>
    </w:p>
    <w:p>
      <w:pPr>
        <w:pStyle w:val="Heading1"/>
        <w:pBdr>
          <w:bottom w:val="single" w:color="D5DDD8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23864F"/>
          <w:sz w:val="24"/>
          <w:szCs w:val="24"/>
        </w:rPr>
        <w:t xml:space="preserve">7. Hipóteses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Formato. </w:t>
      </w:r>
      <w:r>
        <w:rPr>
          <w:rFonts w:ascii="Arial" w:cs="Arial" w:eastAsia="Arial" w:hAnsi="Arial"/>
          <w:color w:val="4B4B4B"/>
          <w:sz w:val="21"/>
          <w:szCs w:val="21"/>
        </w:rPr>
        <w:t xml:space="preserve">"Se aprovada, a proposta tende a produzir [efeito], porque [mecanismo]."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Indicador. </w:t>
      </w:r>
      <w:r>
        <w:rPr>
          <w:rFonts w:ascii="Arial" w:cs="Arial" w:eastAsia="Arial" w:hAnsi="Arial"/>
          <w:color w:val="4B4B4B"/>
          <w:sz w:val="21"/>
          <w:szCs w:val="21"/>
        </w:rPr>
        <w:t xml:space="preserve">O que medir e onde (fonte, unidade, ano da linha de base).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Sentido e limiar. </w:t>
      </w:r>
      <w:r>
        <w:rPr>
          <w:rFonts w:ascii="Arial" w:cs="Arial" w:eastAsia="Arial" w:hAnsi="Arial"/>
          <w:color w:val="4B4B4B"/>
          <w:sz w:val="21"/>
          <w:szCs w:val="21"/>
        </w:rPr>
        <w:t xml:space="preserve">Aumento ou redução, e a variação que sustenta a hipótese, fixados antes de olhar o resultado.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Quantidade. </w:t>
      </w:r>
      <w:r>
        <w:rPr>
          <w:rFonts w:ascii="Arial" w:cs="Arial" w:eastAsia="Arial" w:hAnsi="Arial"/>
          <w:color w:val="4B4B4B"/>
          <w:sz w:val="21"/>
          <w:szCs w:val="21"/>
        </w:rPr>
        <w:t xml:space="preserve">De 1 a 3 por nota. Opinião, valor ou desejo não são hipóteses: precisam poder ser derrubadas por um dado.</w:t>
      </w:r>
    </w:p>
    <w:p>
      <w:pPr>
        <w:pStyle w:val="Heading1"/>
        <w:pBdr>
          <w:bottom w:val="single" w:color="D5DDD8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23864F"/>
          <w:sz w:val="24"/>
          <w:szCs w:val="24"/>
        </w:rPr>
        <w:t xml:space="preserve">8. Testagem e confiança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Resultado</w:t>
            </w:r>
          </w:p>
        </w:tc>
        <w:tc>
          <w:tcPr>
            <w:tcW w:type="dxa" w:w="642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Critério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4B4B4B"/>
                <w:sz w:val="18"/>
                <w:szCs w:val="18"/>
              </w:rPr>
              <w:t xml:space="preserve">Sustentada</w:t>
            </w:r>
          </w:p>
        </w:tc>
        <w:tc>
          <w:tcPr>
            <w:tcW w:type="dxa" w:w="642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4B4B4B"/>
                <w:sz w:val="18"/>
                <w:szCs w:val="18"/>
              </w:rPr>
              <w:t xml:space="preserve">Atinge o limiar no sentido esperado, com evidência de confiança alta ou média.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4B4B4B"/>
                <w:sz w:val="18"/>
                <w:szCs w:val="18"/>
              </w:rPr>
              <w:t xml:space="preserve">Sustentada em parte</w:t>
            </w:r>
          </w:p>
        </w:tc>
        <w:tc>
          <w:tcPr>
            <w:tcW w:type="dxa" w:w="642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4B4B4B"/>
                <w:sz w:val="18"/>
                <w:szCs w:val="18"/>
              </w:rPr>
              <w:t xml:space="preserve">Atinge ao menos metade do limiar, ou o limiar só com evidência de confiança baixa.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4B4B4B"/>
                <w:sz w:val="18"/>
                <w:szCs w:val="18"/>
              </w:rPr>
              <w:t xml:space="preserve">Não sustentada</w:t>
            </w:r>
          </w:p>
        </w:tc>
        <w:tc>
          <w:tcPr>
            <w:tcW w:type="dxa" w:w="642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4B4B4B"/>
                <w:sz w:val="18"/>
                <w:szCs w:val="18"/>
              </w:rPr>
              <w:t xml:space="preserve">Fica abaixo da metade do limiar ou vai no sentido contrário.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4B4B4B"/>
                <w:sz w:val="18"/>
                <w:szCs w:val="18"/>
              </w:rPr>
              <w:t xml:space="preserve">Inconclusiva</w:t>
            </w:r>
          </w:p>
        </w:tc>
        <w:tc>
          <w:tcPr>
            <w:tcW w:type="dxa" w:w="642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4B4B4B"/>
                <w:sz w:val="18"/>
                <w:szCs w:val="18"/>
              </w:rPr>
              <w:t xml:space="preserve">Falta dado ou caso comparável. Dizer o que faltou e como obter.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Confiança</w:t>
            </w:r>
          </w:p>
        </w:tc>
        <w:tc>
          <w:tcPr>
            <w:tcW w:type="dxa" w:w="642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Quando usar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4B4B4B"/>
                <w:sz w:val="18"/>
                <w:szCs w:val="18"/>
              </w:rPr>
              <w:t xml:space="preserve">Alta</w:t>
            </w:r>
          </w:p>
        </w:tc>
        <w:tc>
          <w:tcPr>
            <w:tcW w:type="dxa" w:w="642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4B4B4B"/>
                <w:sz w:val="18"/>
                <w:szCs w:val="18"/>
              </w:rPr>
              <w:t xml:space="preserve">Dado oficial com série histórica, ou estudo revisado por pares aplicável ao caso.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4B4B4B"/>
                <w:sz w:val="18"/>
                <w:szCs w:val="18"/>
              </w:rPr>
              <w:t xml:space="preserve">Média</w:t>
            </w:r>
          </w:p>
        </w:tc>
        <w:tc>
          <w:tcPr>
            <w:tcW w:type="dxa" w:w="642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4B4B4B"/>
                <w:sz w:val="18"/>
                <w:szCs w:val="18"/>
              </w:rPr>
              <w:t xml:space="preserve">Dado oficial parcial, ou caso comparável de outra jurisdição.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4B4B4B"/>
                <w:sz w:val="18"/>
                <w:szCs w:val="18"/>
              </w:rPr>
              <w:t xml:space="preserve">Baixa</w:t>
            </w:r>
          </w:p>
        </w:tc>
        <w:tc>
          <w:tcPr>
            <w:tcW w:type="dxa" w:w="642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4B4B4B"/>
                <w:sz w:val="18"/>
                <w:szCs w:val="18"/>
              </w:rPr>
              <w:t xml:space="preserve">Estimativa, caso único, ou dado sem método publicado.</w:t>
            </w:r>
          </w:p>
        </w:tc>
      </w:tr>
    </w:tbl>
    <w:p>
      <w:pPr>
        <w:spacing w:after="80" w:line="276"/>
      </w:pPr>
      <w:r>
        <w:rPr>
          <w:rFonts w:ascii="Arial" w:cs="Arial" w:eastAsia="Arial" w:hAnsi="Arial"/>
          <w:color w:val="4B4B4B"/>
          <w:sz w:val="21"/>
          <w:szCs w:val="21"/>
        </w:rPr>
        <w:t xml:space="preserve">A planilha sugere o resultado pelo critério; o resultado que vale é o do autor, com a justificativa em uma linha.</w:t>
      </w:r>
    </w:p>
    <w:p>
      <w:pPr>
        <w:pStyle w:val="Heading1"/>
        <w:pBdr>
          <w:bottom w:val="single" w:color="D5DDD8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23864F"/>
          <w:sz w:val="24"/>
          <w:szCs w:val="24"/>
        </w:rPr>
        <w:t xml:space="preserve">9. Cenários e potencialidades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Cenários fixos. </w:t>
      </w:r>
      <w:r>
        <w:rPr>
          <w:rFonts w:ascii="Arial" w:cs="Arial" w:eastAsia="Arial" w:hAnsi="Arial"/>
          <w:color w:val="4B4B4B"/>
          <w:sz w:val="21"/>
          <w:szCs w:val="21"/>
        </w:rPr>
        <w:t xml:space="preserve">A. referência (a proposta não é aprovada); B. aprovada como está; C. aprovada com os ajustes recomendados. Premissas escritas, mesmo indicador da H1, mesmo horizonte (padrão: 5 anos).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Potencialidades. </w:t>
      </w:r>
      <w:r>
        <w:rPr>
          <w:rFonts w:ascii="Arial" w:cs="Arial" w:eastAsia="Arial" w:hAnsi="Arial"/>
          <w:color w:val="4B4B4B"/>
          <w:sz w:val="21"/>
          <w:szCs w:val="21"/>
        </w:rPr>
        <w:t xml:space="preserve">Direção do efeito de B e C em relação a A, de −2 (piora muito) a +2 (melhora muito), em quatro dimensões fixas: ambiental, social, econômica, institucional e fiscal. Magnitude, prazo e reversibilidade vão na nota técnica (parte 7).</w:t>
      </w:r>
    </w:p>
    <w:p>
      <w:pPr>
        <w:pStyle w:val="Heading1"/>
        <w:pBdr>
          <w:bottom w:val="single" w:color="D5DDD8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23864F"/>
          <w:sz w:val="24"/>
          <w:szCs w:val="24"/>
        </w:rPr>
        <w:t xml:space="preserve">10. Gráficos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Gráfico</w:t>
            </w:r>
          </w:p>
        </w:tc>
        <w:tc>
          <w:tcPr>
            <w:tcW w:type="dxa" w:w="642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EEF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3864F"/>
                <w:sz w:val="18"/>
                <w:szCs w:val="18"/>
              </w:rPr>
              <w:t xml:space="preserve">Uso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4B4B4B"/>
                <w:sz w:val="18"/>
                <w:szCs w:val="18"/>
              </w:rPr>
              <w:t xml:space="preserve">1. Trajetória com limiar</w:t>
            </w:r>
          </w:p>
        </w:tc>
        <w:tc>
          <w:tcPr>
            <w:tcW w:type="dxa" w:w="642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4B4B4B"/>
                <w:sz w:val="18"/>
                <w:szCs w:val="18"/>
              </w:rPr>
              <w:t xml:space="preserve">Linhas do indicador da H1 por cenário ao longo do horizonte, com a linha do limiar. Mostra se e quando cada cenário cruza o limiar.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4B4B4B"/>
                <w:sz w:val="18"/>
                <w:szCs w:val="18"/>
              </w:rPr>
              <w:t xml:space="preserve">2. Potencialidades por dimensão</w:t>
            </w:r>
          </w:p>
        </w:tc>
        <w:tc>
          <w:tcPr>
            <w:tcW w:type="dxa" w:w="642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4B4B4B"/>
                <w:sz w:val="18"/>
                <w:szCs w:val="18"/>
              </w:rPr>
              <w:t xml:space="preserve">Barras de B e C a partir do zero (cenário A), de −2 a +2, uma faixa por dimensão.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B4B4B"/>
          <w:sz w:val="21"/>
          <w:szCs w:val="21"/>
        </w:rPr>
        <w:t xml:space="preserve">Cores fixas dos cenários: A azul #2A78D6, B laranja #EB6834, C verde-água #1BAF7A; limiar em cinza #8A8984. Testadas para leitura por pessoas com daltonismo.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B4B4B"/>
          <w:sz w:val="21"/>
          <w:szCs w:val="21"/>
        </w:rPr>
        <w:t xml:space="preserve">Um eixo só (nunca dois eixos verticais). Barras começam no zero. Sem 3D, sem sombra, grade clara.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B4B4B"/>
          <w:sz w:val="21"/>
          <w:szCs w:val="21"/>
        </w:rPr>
        <w:t xml:space="preserve">Valor rotulado no fim de cada linha ou barra, e a tabela de dados junto do gráfico.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B4B4B"/>
          <w:sz w:val="21"/>
          <w:szCs w:val="21"/>
        </w:rPr>
        <w:t xml:space="preserve">Abaixo de cada gráfico: fonte, ano e premissas. Dado fictício nunca é publicado.</w:t>
      </w:r>
    </w:p>
    <w:p>
      <w:pPr>
        <w:pStyle w:val="Heading1"/>
        <w:pBdr>
          <w:bottom w:val="single" w:color="D5DDD8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23864F"/>
          <w:sz w:val="24"/>
          <w:szCs w:val="24"/>
        </w:rPr>
        <w:t xml:space="preserve">11. Fontes e evidências</w:t>
      </w:r>
    </w:p>
    <w:p>
      <w:pPr>
        <w:spacing w:after="80" w:line="276"/>
      </w:pPr>
      <w:r>
        <w:rPr>
          <w:rFonts w:ascii="Arial" w:cs="Arial" w:eastAsia="Arial" w:hAnsi="Arial"/>
          <w:color w:val="4B4B4B"/>
          <w:sz w:val="21"/>
          <w:szCs w:val="21"/>
        </w:rPr>
        <w:t xml:space="preserve">Ordem de preferência: fontes oficiais (casas legislativas, diários oficiais, órgãos ambientais, IBGE, INPE); estudos revisados por pares; dados de organizações com método publicado; imprensa só para contexto, nunca como dado.</w:t>
      </w:r>
    </w:p>
    <w:p>
      <w:pPr>
        <w:pStyle w:val="Heading1"/>
        <w:pBdr>
          <w:bottom w:val="single" w:color="D5DDD8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23864F"/>
          <w:sz w:val="24"/>
          <w:szCs w:val="24"/>
        </w:rPr>
        <w:t xml:space="preserve">12. Fundamentos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B4B4B"/>
          <w:sz w:val="21"/>
          <w:szCs w:val="21"/>
        </w:rPr>
        <w:t xml:space="preserve">Análise de Impacto Regulatório: Decreto nº 10.411/2020 (problema, objetivos, alternativas, impactos, comparação).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B4B4B"/>
          <w:sz w:val="21"/>
          <w:szCs w:val="21"/>
        </w:rPr>
        <w:t xml:space="preserve">Consequências práticas da decisão: art. 20 da LINDB, incluído pela Lei nº 13.655/2018.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B4B4B"/>
          <w:sz w:val="21"/>
          <w:szCs w:val="21"/>
        </w:rPr>
        <w:t xml:space="preserve">Boas práticas regulatórias da OCDE: avaliação baseada em evidências e transparente.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B4B4B"/>
          <w:sz w:val="21"/>
          <w:szCs w:val="21"/>
        </w:rPr>
        <w:t xml:space="preserve">Técnica legislativa: Lei Complementar nº 95/1998 (como as alterações são redigidas e lidas).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B4B4B"/>
          <w:sz w:val="21"/>
          <w:szCs w:val="21"/>
        </w:rPr>
        <w:t xml:space="preserve">Proteção ambiental: art. 225 da Constituição e competências da LC nº 140/2011.</w:t>
      </w:r>
    </w:p>
    <w:p>
      <w:pPr>
        <w:pStyle w:val="Heading1"/>
        <w:pBdr>
          <w:bottom w:val="single" w:color="D5DDD8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23864F"/>
          <w:sz w:val="24"/>
          <w:szCs w:val="24"/>
        </w:rPr>
        <w:t xml:space="preserve">13. Versões, correções e rastreabilidade</w:t>
      </w:r>
    </w:p>
    <w:p>
      <w:pPr>
        <w:spacing w:after="80" w:line="276"/>
      </w:pPr>
      <w:r>
        <w:rPr>
          <w:rFonts w:ascii="Arial" w:cs="Arial" w:eastAsia="Arial" w:hAnsi="Arial"/>
          <w:color w:val="4B4B4B"/>
          <w:sz w:val="21"/>
          <w:szCs w:val="21"/>
        </w:rPr>
        <w:t xml:space="preserve">Cada parecer informa a versão do texto analisado. Os PDFs saem carimbados em cada página com a identificação do parecer (versão, texto analisado, autor), o link permanente e um QR que levam à versão atual no site. Correções são registradas publicamente na página do parecer.</w:t>
      </w:r>
    </w:p>
    <w:p>
      <w:pPr>
        <w:pStyle w:val="Heading1"/>
        <w:pBdr>
          <w:bottom w:val="single" w:color="D5DDD8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23864F"/>
          <w:sz w:val="24"/>
          <w:szCs w:val="24"/>
        </w:rPr>
        <w:t xml:space="preserve">14. Antes de publicar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B4B4B"/>
          <w:sz w:val="21"/>
          <w:szCs w:val="21"/>
        </w:rPr>
        <w:t xml:space="preserve">Texto base e versão analisada conferidos com a fonte oficial.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B4B4B"/>
          <w:sz w:val="21"/>
          <w:szCs w:val="21"/>
        </w:rPr>
        <w:t xml:space="preserve">Hipóteses com indicador, sentido e limiar fixados antes da testagem.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B4B4B"/>
          <w:sz w:val="21"/>
          <w:szCs w:val="21"/>
        </w:rPr>
        <w:t xml:space="preserve">Resultado de cada hipótese na conclusão, coerente com o quadro (parte B).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B4B4B"/>
          <w:sz w:val="21"/>
          <w:szCs w:val="21"/>
        </w:rPr>
        <w:t xml:space="preserve">Gráficos com cores padrão, fonte e ano; nenhum dado fictício.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B4B4B"/>
          <w:sz w:val="21"/>
          <w:szCs w:val="21"/>
        </w:rPr>
        <w:t xml:space="preserve">Classificação (caráter e impacto) justificada em uma linha cada.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4B4B4B"/>
          <w:sz w:val="21"/>
          <w:szCs w:val="21"/>
        </w:rPr>
        <w:t xml:space="preserve">Limitações escritas: o que não foi possível verificar e por quê.</w:t>
      </w:r>
    </w:p>
    <w:p>
      <w:pPr>
        <w:spacing w:before="200"/>
      </w:pPr>
      <w:r>
        <w:rPr>
          <w:rFonts w:ascii="Arial" w:cs="Arial" w:eastAsia="Arial" w:hAnsi="Arial"/>
          <w:color w:val="7A847E"/>
          <w:sz w:val="16"/>
          <w:szCs w:val="16"/>
        </w:rPr>
        <w:t xml:space="preserve">O método é público e pode ser revisto. Mudanças geram nova versão desta metodologia, com data.</w:t>
      </w:r>
    </w:p>
    <w:sectPr>
      <w:headerReference w:type="default" r:id="rId7"/>
      <w:footerReference w:type="default" r:id="rId8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A847E"/>
        <w:sz w:val="16"/>
        <w:szCs w:val="16"/>
      </w:rPr>
      <w:t xml:space="preserve">Metodologia padrão de análise · página </w:t>
    </w:r>
    <w:r>
      <w:rPr>
        <w:rFonts w:ascii="Arial" w:cs="Arial" w:eastAsia="Arial" w:hAnsi="Arial"/>
        <w:color w:val="7A847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A847E"/>
        <w:sz w:val="16"/>
        <w:szCs w:val="16"/>
      </w:rPr>
      <w:t xml:space="preserve"> de </w:t>
    </w:r>
    <w:r>
      <w:rPr>
        <w:rFonts w:ascii="Arial" w:cs="Arial" w:eastAsia="Arial" w:hAnsi="Arial"/>
        <w:color w:val="7A847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DD8" w:sz="4" w:space="4"/>
      </w:pBdr>
      <w:tabs>
        <w:tab w:val="right" w:pos="9026"/>
      </w:tabs>
    </w:pPr>
    <w:r>
      <w:drawing>
        <wp:inline distT="0" distB="0" distL="0" distR="0">
          <wp:extent cx="1123950" cy="3429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395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7A847E"/>
        <w:sz w:val="16"/>
        <w:szCs w:val="16"/>
      </w:rPr>
      <w:t xml:space="preserve">	Metodologia padrão de análise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B4B4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73e8999b052b506d3c733073c1e9ee76254389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Metodologia padrão de análise</dc:title>
  <dc:creator>ênfase jur</dc:creator>
  <cp:lastModifiedBy>Un-named</cp:lastModifiedBy>
  <cp:revision>1</cp:revision>
  <dcterms:created xsi:type="dcterms:W3CDTF">2026-10-30T04:32:33.331Z</dcterms:created>
  <dcterms:modified xsi:type="dcterms:W3CDTF">2026-10-30T04:32:33.331Z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