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4B4B4B"/>
          <w:sz w:val="30"/>
          <w:szCs w:val="30"/>
        </w:rPr>
        <w:t xml:space="preserve">QUADRO COMPARATIVO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7A847E"/>
          <w:sz w:val="24"/>
          <w:szCs w:val="24"/>
        </w:rPr>
        <w:t xml:space="preserve">[Proposta]: cotejo dos textos, testagem das hipóteses e comparação de potencialidades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Três partes, sempre nesta ordem: A. cotejo literal dos textos (sem comentário); B. testagem das hipóteses da nota técnica (parte 6); C. comparação de potencialidades entre os cenários, com gráficos. Os números vêm da planilha de hipóteses e gráficos. O pé de cada página fica livre para o carimbo do sistema (identificação, link permanente e QR). Apague as orientações em cinza ao preencher.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10080"/>
      </w:tblGrid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Proposta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[Sigla, número e ano · casa · UF ou federal] · [ementa]</w:t>
            </w:r>
          </w:p>
        </w:tc>
      </w:tr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proposto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[Versão analisada e data]</w:t>
            </w:r>
          </w:p>
        </w:tc>
      </w:tr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vigente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alterada, data e versão consolidada consultada]</w:t>
            </w:r>
          </w:p>
        </w:tc>
      </w:tr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Parecer de referência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Nota técnica nº [__]/[ANO] · versão [__] · [autor]</w:t>
            </w:r>
          </w:p>
        </w:tc>
      </w:tr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Link permanente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[Copie do painel, quadro "Links dos PDFs". O sistema também o carimba em cada página.]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A. Cotejo dos textos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Só transcrição: as colunas reproduzem as fontes oficiais, sem comentário. A leitura do cotejo está na nota técnica (parte 4) e no site.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300"/>
        <w:gridCol w:w="6300"/>
      </w:tblGrid>
      <w:tr>
        <w:trPr>
          <w:tblHeader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vigente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proposto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X, art. 3º]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atual, como na fonte oficial]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proposta, como no texto analisado]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X, art. 4º, § 2º]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atual]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proposta]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[Dispositivo]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atual]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proposta]</w:t>
            </w:r>
          </w:p>
        </w:tc>
      </w:tr>
    </w:tbl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Dispositivos novos (sem correspondente na lei atual)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600"/>
      </w:tblGrid>
      <w:tr>
        <w:trPr>
          <w:tblHeader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1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proposto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[Art. novo]</w:t>
            </w:r>
          </w:p>
        </w:tc>
        <w:tc>
          <w:tcPr>
            <w:tcW w:type="dxa" w:w="1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[Redação]</w:t>
            </w:r>
          </w:p>
        </w:tc>
      </w:tr>
    </w:tbl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Dispositivos revogados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600"/>
      </w:tblGrid>
      <w:tr>
        <w:trPr>
          <w:tblHeader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1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que deixa de valer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[Art. revogado]</w:t>
            </w:r>
          </w:p>
        </w:tc>
        <w:tc>
          <w:tcPr>
            <w:tcW w:type="dxa" w:w="1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atual]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B. Testagem das hipóteses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Uma linha por hipótese da nota técnica (parte 6), com o limiar fixado antes de ver o resultado. A planilha sugere o resultado pelo critério; o resultado que vale é o do autor.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2300"/>
        <w:gridCol w:w="1500"/>
        <w:gridCol w:w="1300"/>
        <w:gridCol w:w="1500"/>
        <w:gridCol w:w="1200"/>
        <w:gridCol w:w="2600"/>
      </w:tblGrid>
      <w:tr>
        <w:trPr>
          <w:tblHeader/>
        </w:trPr>
        <w:tc>
          <w:tcPr>
            <w:tcW w:type="dxa" w:w="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Nº</w:t>
            </w:r>
          </w:p>
        </w:tc>
        <w:tc>
          <w:tcPr>
            <w:tcW w:type="dxa" w:w="3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Hipótese</w:t>
            </w:r>
          </w:p>
        </w:tc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Indicador · fonte</w:t>
            </w:r>
          </w:p>
        </w:tc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Linha de base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Limiar</w:t>
            </w:r>
          </w:p>
        </w:tc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Observado ou projetado</w:t>
            </w:r>
          </w:p>
        </w:tc>
        <w:tc>
          <w:tcPr>
            <w:tcW w:type="dxa" w:w="12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Confiança</w:t>
            </w:r>
          </w:p>
        </w:tc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Resultado e por quê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H1</w:t>
            </w:r>
          </w:p>
        </w:tc>
        <w:tc>
          <w:tcPr>
            <w:tcW w:type="dxa" w:w="3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na nota técnica]</w:t>
            </w:r>
          </w:p>
        </w:tc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[Indicador · fonte, ano]</w:t>
            </w:r>
          </w:p>
        </w:tc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[Valor, ano]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[Ex.: +10%]</w:t>
            </w:r>
          </w:p>
        </w:tc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[Ex.: +18%]</w:t>
            </w:r>
          </w:p>
        </w:tc>
        <w:tc>
          <w:tcPr>
            <w:tcW w:type="dxa" w:w="12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[Sustentada / em parte / não sustentada / inconclusiva] · [1 linha]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H2</w:t>
            </w:r>
          </w:p>
        </w:tc>
        <w:tc>
          <w:tcPr>
            <w:tcW w:type="dxa" w:w="3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[Hipótese]</w:t>
            </w:r>
          </w:p>
        </w:tc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[Indicador · fonte]</w:t>
            </w:r>
          </w:p>
        </w:tc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[Limiar]</w:t>
            </w:r>
          </w:p>
        </w:tc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12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[Confiança]</w:t>
            </w:r>
          </w:p>
        </w:tc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[Resultado] · [1 linha]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Critérios: </w:t>
      </w:r>
      <w:r>
        <w:rPr>
          <w:rFonts w:ascii="Arial" w:cs="Arial" w:eastAsia="Arial" w:hAnsi="Arial"/>
          <w:sz w:val="18"/>
          <w:szCs w:val="18"/>
        </w:rPr>
        <w:t xml:space="preserve">sustentada, atinge o limiar no sentido esperado com evidência de confiança alta ou média; sustentada em parte, atinge ao menos metade do limiar, ou o limiar só com confiança baixa; não sustentada, fica abaixo da metade do limiar ou vai no sentido contrário; inconclusiva, falta dado ou caso comparável (diga o que faltou).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Confiança: </w:t>
      </w:r>
      <w:r>
        <w:rPr>
          <w:rFonts w:ascii="Arial" w:cs="Arial" w:eastAsia="Arial" w:hAnsi="Arial"/>
          <w:sz w:val="18"/>
          <w:szCs w:val="18"/>
        </w:rPr>
        <w:t xml:space="preserve">alta, dado oficial com série histórica ou estudo revisado por pares aplicável ao caso; média, dado oficial parcial ou caso comparável de outra jurisdição; baixa, estimativa, caso único ou dado sem método publicado.</w:t>
      </w:r>
    </w:p>
    <w:p>
      <w:r>
        <w:br w:type="page"/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C. Comparação de potencialidades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Os três cenários da nota técnica (parte 8), no mesmo indicador e no mesmo horizonte. Cores fixas: A azul, B laranja, C verde-água. Abaixo de cada gráfico, a fonte e o ano dos dados. Os gráficos abaixo são exemplos com dados fictícios: substitua pelos da planilha.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Gráfico 1. Trajetória do indicador da H1 por cenário, com o limiar da hipótese</w:t>
      </w:r>
    </w:p>
    <w:p>
      <w:pPr>
        <w:spacing w:after="40" w:before="80"/>
        <w:jc w:val="center"/>
      </w:pPr>
      <w:r>
        <w:drawing>
          <wp:inline distT="0" distB="0" distL="0" distR="0">
            <wp:extent cx="8191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7A847E"/>
          <w:sz w:val="16"/>
          <w:szCs w:val="16"/>
        </w:rPr>
        <w:t xml:space="preserve">Exemplo ilustrativo, dados fictícios. Fonte: [fonte dos dados, ano] · Premissas: [cenários A, B e C].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2000"/>
        <w:gridCol w:w="2000"/>
        <w:gridCol w:w="2000"/>
        <w:gridCol w:w="2000"/>
        <w:gridCol w:w="2000"/>
      </w:tblGrid>
      <w:tr>
        <w:trPr>
          <w:tblHeader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Cenário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2025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2026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2027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2028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2029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2030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A. Referência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B. Aprovada como está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C. Aprovada com ajustes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</w:tr>
    </w:tbl>
    <w:p>
      <w:r>
        <w:br w:type="page"/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Gráfico 2. Potencialidades por dimensão: B e C em relação ao cenário 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Escala de −2 (piora muito) a +2 (melhora muito), sempre em relação à referência (A). Dimensões fixas: ambiental, social, econômica, institucional e fiscal, as mesmas da nota técnica (parte 7).</w:t>
      </w:r>
    </w:p>
    <w:p>
      <w:pPr>
        <w:spacing w:after="40" w:before="80"/>
        <w:jc w:val="center"/>
      </w:pPr>
      <w:r>
        <w:drawing>
          <wp:inline distT="0" distB="0" distL="0" distR="0">
            <wp:extent cx="81915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7A847E"/>
          <w:sz w:val="16"/>
          <w:szCs w:val="16"/>
        </w:rPr>
        <w:t xml:space="preserve">Exemplo ilustrativo, dados fictícios. Fonte: avaliação do autor com base em [evidências].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1700"/>
        <w:gridCol w:w="8400"/>
      </w:tblGrid>
      <w:tr>
        <w:trPr>
          <w:tblHeader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Dimensão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B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</w:t>
            </w:r>
          </w:p>
        </w:tc>
        <w:tc>
          <w:tcPr>
            <w:tcW w:type="dxa" w:w="8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Por que (1 linha)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Ambiental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8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[Motivo]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Social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8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[Motivo]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Econômica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8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[Motivo]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Institucional e fiscal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8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[Motivo]</w:t>
            </w:r>
          </w:p>
        </w:tc>
      </w:tr>
    </w:tbl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Síntese da comparação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Até 3 linhas: qual cenário entrega mais proteção com menor custo, e o que a comparação muda na conclusão da nota técnica (parte 11).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Fontes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Texto vigente: [endereço oficial, data de acesso]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Texto proposto: [endereço oficial da versão analisada, data]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Dados das partes B e C: [fonte, ano e premissas de cada série]</w:t>
      </w:r>
    </w:p>
    <w:p>
      <w:pPr>
        <w:spacing w:before="160"/>
      </w:pPr>
      <w:r>
        <w:rPr>
          <w:rFonts w:ascii="Arial" w:cs="Arial" w:eastAsia="Arial" w:hAnsi="Arial"/>
          <w:color w:val="7A847E"/>
          <w:sz w:val="16"/>
          <w:szCs w:val="16"/>
        </w:rPr>
        <w:t xml:space="preserve">Em caso de diferença entre este quadro e as fontes oficiais, valem as fontes oficiais.</w:t>
      </w:r>
    </w:p>
    <w:sectPr>
      <w:headerReference w:type="default" r:id="rId7"/>
      <w:footerReference w:type="default" r:id="rId8"/>
      <w:pgSz w:w="16838" w:h="11906" w:orient="landscape"/>
      <w:pgMar w:top="1100" w:right="1219" w:bottom="1650" w:left="1219" w:header="708" w:footer="11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A847E"/>
        <w:sz w:val="16"/>
        <w:szCs w:val="16"/>
      </w:rPr>
      <w:t xml:space="preserve">Quadro comparativo · página </w:t>
    </w:r>
    <w:r>
      <w:rPr>
        <w:rFonts w:ascii="Arial" w:cs="Arial" w:eastAsia="Arial" w:hAnsi="Arial"/>
        <w:color w:val="7A847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A847E"/>
        <w:sz w:val="16"/>
        <w:szCs w:val="16"/>
      </w:rPr>
      <w:t xml:space="preserve"> de </w:t>
    </w:r>
    <w:r>
      <w:rPr>
        <w:rFonts w:ascii="Arial" w:cs="Arial" w:eastAsia="Arial" w:hAnsi="Arial"/>
        <w:color w:val="7A847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DD8" w:sz="4" w:space="4"/>
      </w:pBdr>
      <w:tabs>
        <w:tab w:val="right" w:pos="14400"/>
      </w:tabs>
    </w:pPr>
    <w:r>
      <w:drawing>
        <wp:inline distT="0" distB="0" distL="0" distR="0">
          <wp:extent cx="11239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7A847E"/>
        <w:sz w:val="16"/>
        <w:szCs w:val="16"/>
      </w:rPr>
      <w:t xml:space="preserve">	Quadro comparativo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B4B4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c975d4167c2221050b8b7d0831b8bdd6e83fa09.png"/><Relationship Id="rId10" Type="http://schemas.openxmlformats.org/officeDocument/2006/relationships/image" Target="media/8b98c79ead9f58ebe0ce35f0c99c1c050d3eca7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73e8999b052b506d3c733073c1e9ee76254389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Quadro comparativo (modelo)</dc:title>
  <dc:creator>ênfase jur</dc:creator>
  <cp:lastModifiedBy>Un-named</cp:lastModifiedBy>
  <cp:revision>1</cp:revision>
  <dcterms:created xsi:type="dcterms:W3CDTF">2026-10-30T04:32:33.327Z</dcterms:created>
  <dcterms:modified xsi:type="dcterms:W3CDTF">2026-10-30T04:32:33.327Z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