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QUADRO COMPARATIVO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[Proposta]: texto vigente e texto proposto, artigo por artigo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Só transcrição, sem comentário: as duas colunas reproduzem as fontes oficiais. A análise do cotejo está no parecer (nota técnica, parte 4) e no site. O pé de cada página fica livre para o carimbo do sistema (identificação, link permanente e QR). Apague as orientações em cinza ao preencher.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0080"/>
      </w:tblGrid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 · [ementa]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analisada e data]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alterada, data e versão consolidada consultada]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Parecer de referência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Nota técnica nº [__]/[ANO] · versão [__] · [autor]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Link permanente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[Copie do painel, quadro "Links dos PDFs". O sistema também o carimba em cada página.]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300"/>
        <w:gridCol w:w="63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3º]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atual, como na fonte oficial]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como no texto analisado]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4º, § 2º]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[Dispositivo]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Dispositivos novos (sem correspondente na lei atual)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6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novo]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Dispositivos revogados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6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que deixa de valer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revogado]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vigente: [endereço oficial, data de acesso]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proposto: [endereço oficial da versão analisada, data]</w:t>
      </w:r>
    </w:p>
    <w:p>
      <w:pPr>
        <w:spacing w:before="16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Em caso de diferença entre este quadro e as fontes oficiais, valem as fontes oficiais.</w:t>
      </w:r>
    </w:p>
    <w:sectPr>
      <w:headerReference w:type="default" r:id="rId7"/>
      <w:footerReference w:type="default" r:id="rId8"/>
      <w:pgSz w:w="16838" w:h="11906" w:orient="landscape"/>
      <w:pgMar w:top="1100" w:right="1219" w:bottom="1650" w:left="1219" w:header="708" w:footer="11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Quadro comparativo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14400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Quadro comparativo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comparativo (modelo)</dc:title>
  <dc:creator>ênfase jur</dc:creator>
  <cp:lastModifiedBy>Un-named</cp:lastModifiedBy>
  <cp:revision>1</cp:revision>
  <dcterms:created xsi:type="dcterms:W3CDTF">2026-10-30T04:13:45.131Z</dcterms:created>
  <dcterms:modified xsi:type="dcterms:W3CDTF">2026-10-30T04:13:45.131Z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