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B70016"/>
          <w:spacing w:val="50"/>
          <w:sz w:val="17"/>
          <w:szCs w:val="17"/>
        </w:rPr>
        <w:t xml:space="preserve">DOCUMENTO INTERNO · NO ENVIAR AL CLIENTE</w:t>
      </w:r>
    </w:p>
    <w:p>
      <w:pPr>
        <w:pBdr>
          <w:bottom w:val="single" w:color="B70016" w:sz="12" w:space="4"/>
        </w:pBd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1D3A"/>
          <w:sz w:val="42"/>
          <w:szCs w:val="42"/>
        </w:rPr>
        <w:t xml:space="preserve">Análisis de precio: cuánto vale realmente este trabajo</w:t>
      </w:r>
    </w:p>
    <w:p>
      <w:pPr>
        <w:spacing w:after="300" w:line="300"/>
      </w:pPr>
      <w:r>
        <w:rPr>
          <w:rFonts w:ascii="Calibri" w:cs="Calibri" w:eastAsia="Calibri" w:hAnsi="Calibri"/>
          <w:color w:val="4D5966"/>
          <w:sz w:val="24"/>
          <w:szCs w:val="24"/>
        </w:rPr>
        <w:t xml:space="preserve">Benchmark de mercado peruano, costeo por horas y tarifa recomendada para la propuesta SEM / SEO / AEO / GEO de Advance Group</w:t>
      </w:r>
    </w:p>
    <w:p>
      <w:pPr>
        <w:spacing w:after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CONCLUSIÓN PRIMERO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3855"/>
        <w:gridCol w:w="5783"/>
      </w:tblGrid>
      <w:tr>
        <w:trPr>
          <w:tblHeader w:val="false"/>
        </w:trPr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Precio de la propuesta actual</w:t>
            </w:r>
          </w:p>
        </w:tc>
        <w:tc>
          <w:tcPr>
            <w:tcW w:type="dxa" w:w="578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S/ 4,500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 por 145 horas estimadas = </w:t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S/ 31 por hora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Precio de mercado del mismo alcance</w:t>
            </w:r>
          </w:p>
        </w:tc>
        <w:tc>
          <w:tcPr>
            <w:tcW w:type="dxa" w:w="578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Entre </w:t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S/ 11,000 y S/ 16,000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 si lo cotizara una agencia peruana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Precio justo recomendado</w:t>
            </w:r>
          </w:p>
        </w:tc>
        <w:tc>
          <w:tcPr>
            <w:tcW w:type="dxa" w:w="578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S/ 8,500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 (Fase 1: S/ 3,900 · Fase 2: S/ 4,600) = S/ 59 por hora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Qué hacer si el tope real es S/ 4,500</w:t>
            </w:r>
          </w:p>
        </w:tc>
        <w:tc>
          <w:tcPr>
            <w:tcW w:type="dxa" w:w="578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No bajar el precio: bajar el alcance.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 En la página 5 está el recorte exacto que hace que S/ 4,500 sea un precio honesto y no una pérdida.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single" w:color="D9A86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1D3A"/>
                <w:sz w:val="19"/>
                <w:szCs w:val="19"/>
              </w:rPr>
              <w:t xml:space="preserve">A S/ 4,500 el trabajo se está cotizando al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1D3A"/>
                <w:sz w:val="19"/>
                <w:szCs w:val="19"/>
              </w:rPr>
              <w:t xml:space="preserve">28–40% del precio de mercado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1D3A"/>
                <w:sz w:val="19"/>
                <w:szCs w:val="19"/>
              </w:rPr>
              <w:t xml:space="preserve">. Eso no es "ser competitivo": es fijar un ancla de precio que después será muy difícil de subir con este mismo cliente.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01 · MERCADO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Cuánto se cobra en el Perú por estos servicios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Datos de agencias y consultores peruanos publicados en 2026. Los rangos son mensuales salvo indicación contraria.</w:t>
      </w:r>
    </w:p>
    <w:p>
      <w:pPr>
        <w:spacing w:after="12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SEO — retainer mensual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048"/>
        <w:gridCol w:w="2410"/>
        <w:gridCol w:w="3180"/>
      </w:tblGrid>
      <w:tr>
        <w:trPr>
          <w:tblHeader/>
        </w:trPr>
        <w:tc>
          <w:tcPr>
            <w:tcW w:type="dxa" w:w="4048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Tipo de proyecto</w:t>
            </w:r>
          </w:p>
        </w:tc>
        <w:tc>
          <w:tcPr>
            <w:tcW w:type="dxa" w:w="241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Rango mensual</w:t>
            </w:r>
          </w:p>
        </w:tc>
        <w:tc>
          <w:tcPr>
            <w:tcW w:type="dxa" w:w="318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Dónde cae Advance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Proyecto básico o local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1,000 – 1,500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4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PyME, estrategia profesional</w:t>
            </w:r>
          </w:p>
        </w:tc>
        <w:tc>
          <w:tcPr>
            <w:tcW w:type="dxa" w:w="241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1,500 – 3,500</w:t>
            </w:r>
          </w:p>
        </w:tc>
        <w:tc>
          <w:tcPr>
            <w:tcW w:type="dxa" w:w="31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Empresa en competencia media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2,500 – 4,000 (mínimo 6 meses)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70016"/>
                <w:sz w:val="19"/>
                <w:szCs w:val="19"/>
              </w:rPr>
              <w:t xml:space="preserve">Aquí está Advance</w:t>
            </w: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4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Sector B2B competitivo</w:t>
            </w:r>
          </w:p>
        </w:tc>
        <w:tc>
          <w:tcPr>
            <w:tcW w:type="dxa" w:w="241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Más de S/ 6,000</w:t>
            </w:r>
          </w:p>
        </w:tc>
        <w:tc>
          <w:tcPr>
            <w:tcW w:type="dxa" w:w="31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Financiero/factoring tiende a este rango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E-commerce o SEO avanzado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4,500 – 9,000+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Google Ads — fee de gestión (sin contar la inversión publicitaria)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048"/>
        <w:gridCol w:w="2410"/>
        <w:gridCol w:w="3180"/>
      </w:tblGrid>
      <w:tr>
        <w:trPr>
          <w:tblHeader/>
        </w:trPr>
        <w:tc>
          <w:tcPr>
            <w:tcW w:type="dxa" w:w="4048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Modalidad</w:t>
            </w:r>
          </w:p>
        </w:tc>
        <w:tc>
          <w:tcPr>
            <w:tcW w:type="dxa" w:w="241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Rango</w:t>
            </w:r>
          </w:p>
        </w:tc>
        <w:tc>
          <w:tcPr>
            <w:tcW w:type="dxa" w:w="318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Comentario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Agencia, tarifa fija mensual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1,500 – 10,000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Según alcance y número de campañas</w:t>
            </w:r>
          </w:p>
        </w:tc>
      </w:tr>
      <w:tr>
        <w:trPr>
          <w:tblHeader w:val="false"/>
        </w:trPr>
        <w:tc>
          <w:tcPr>
            <w:tcW w:type="dxa" w:w="404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Promedio de mercado, tarifa fija</w:t>
            </w:r>
          </w:p>
        </w:tc>
        <w:tc>
          <w:tcPr>
            <w:tcW w:type="dxa" w:w="241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850 – 3,500</w:t>
            </w:r>
          </w:p>
        </w:tc>
        <w:tc>
          <w:tcPr>
            <w:tcW w:type="dxa" w:w="31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Rango más frecuente en PyME</w:t>
            </w:r>
          </w:p>
        </w:tc>
      </w:tr>
      <w:tr>
        <w:trPr>
          <w:tblHeader w:val="false"/>
        </w:trPr>
        <w:tc>
          <w:tcPr>
            <w:tcW w:type="dxa" w:w="404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Freelance o consultor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500 – 3,000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Según experiencia</w:t>
            </w:r>
          </w:p>
        </w:tc>
      </w:tr>
      <w:tr>
        <w:trPr>
          <w:tblHeader w:val="false"/>
        </w:trPr>
        <w:tc>
          <w:tcPr>
            <w:tcW w:type="dxa" w:w="404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Modelo por comisión</w:t>
            </w:r>
          </w:p>
        </w:tc>
        <w:tc>
          <w:tcPr>
            <w:tcW w:type="dxa" w:w="241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10% – 20% de la inversión</w:t>
            </w:r>
          </w:p>
        </w:tc>
        <w:tc>
          <w:tcPr>
            <w:tcW w:type="dxa" w:w="31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El estándar 2026 es </w:t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15%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AEO y GEO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Todavía no hay una tarifa de referencia consolidada en el Perú: son servicios nuevos y casi ninguna agencia local los ofrece por separado. En la práctica se cobran como un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complemento del retainer de SEO, entre 20% y 40% adicional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, o como un proyecto de auditoría y configuración. Esto juega a favor: es un servicio escaso, y lo escaso no se cotiza al precio de lo abundante.</w:t>
      </w:r>
    </w:p>
    <w:p>
      <w:pPr>
        <w:spacing w:after="160"/>
      </w:pPr>
    </w:p>
    <w:tbl>
      <w:tblPr>
        <w:tblW w:type="dxa" w:w="9638"/>
        <w:tblBorders>
          <w:top w:val="none" w:color="FFFFFF" w:sz="0"/>
          <w:left w:val="single" w:color="D9DEE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1D3A"/>
                <w:sz w:val="19"/>
                <w:szCs w:val="19"/>
              </w:rPr>
              <w:t xml:space="preserve">Fuentes consultadas: creallo.pe, hatumseo.com, funnel.pe, adratechsystems.com, marketingdigitalemidas.com (tarifas SEO Perú 2026); datatrust.pe, onfleekmedia.com, albeiroochoa.com (gestión Google Ads 2026).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02 · COSTEO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Cuántas horas cuesta realmente entregar esto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Estimación por actividad, sobre el alcance descrito en la propuesta. Incluye ejecución, revisión y reproceso razonable.</w:t>
      </w:r>
    </w:p>
    <w:p>
      <w:pPr>
        <w:spacing w:after="12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Fase 1 — Implementación técnica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Actividad</w:t>
            </w:r>
          </w:p>
        </w:tc>
        <w:tc>
          <w:tcPr>
            <w:tcW w:type="dxa" w:w="289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Horas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Prerender / SSR: integración de @angular/ssr, ajustes de build, Dockerfile y nginx, pruebas por ruta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Servicio de metadatos + aplicación en 6 rutas (title, description, canonical, OG, Twitter)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Datos estructurados JSON-LD: 5 tipos, validación en Rich Results Test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robots.txt, sitemap.xml y corrección del soft 404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llms.txt y llms-full.txt: redacción del contenido y publicación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GA4 + GTM + Search Console + Bing, y 5 eventos de conversión probados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Google Business Profile: 3 fichas creadas, verificadas y optimizadas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Core Web Vitals: tipografías, preload, INP y CLS hasta Lighthouse ≥ 90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QA final, informe antes/después, documento de accesos y sesión de traspaso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747"/>
            <w:gridSpan w:val="1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Subtotal Fase 1</w:t>
            </w:r>
          </w:p>
        </w:tc>
        <w:tc>
          <w:tcPr>
            <w:tcW w:type="dxa" w:w="2891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55 h</w:t>
            </w:r>
          </w:p>
        </w:tc>
      </w:tr>
    </w:tbl>
    <w:p>
      <w:pPr>
        <w:spacing w:after="22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Fase 2 — Estrategia y posicionamiento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Actividad</w:t>
            </w:r>
          </w:p>
        </w:tc>
        <w:tc>
          <w:tcPr>
            <w:tcW w:type="dxa" w:w="289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Horas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Keyword research (60+ términos), análisis de 5 competidores y mapa de intención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Optimización de las 2 landings + preguntas frecuentes con FAQPage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 artículos: investigación, redacción, maquetación, schema e imágenes (3.5 h c/u)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Construcción de la sección de recursos e integración en el sitio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GEO: homogeneización de datos en 10+ directorios y optimización de perfiles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GEO: 90 consultas de monitoreo (15 prompts × 3 motores × 2 mediciones) e informe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Google Ads: estructura, 15 anuncios, negativas, conversiones y remarketing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Google Ads: gestión y optimización durante las 8 semanas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674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Dashboard en Looker Studio (5 bloques, conexión de fuentes)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674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2 reportes mensuales, 2 reuniones y manual de operación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6747"/>
            <w:gridSpan w:val="1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Subtotal Fase 2</w:t>
            </w:r>
          </w:p>
        </w:tc>
        <w:tc>
          <w:tcPr>
            <w:tcW w:type="dxa" w:w="2891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90 h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Total del proyecto</w:t>
            </w:r>
          </w:p>
        </w:tc>
        <w:tc>
          <w:tcPr>
            <w:tcW w:type="dxa" w:w="241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Horas</w:t>
            </w:r>
          </w:p>
        </w:tc>
        <w:tc>
          <w:tcPr>
            <w:tcW w:type="dxa" w:w="2409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Tarifa efectiva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Fase 1 + Fase 2 cobradas en S/ 4,500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145 h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70016"/>
                <w:sz w:val="19"/>
                <w:szCs w:val="19"/>
              </w:rPr>
              <w:t xml:space="preserve">S/ 31 / hora</w:t>
            </w: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Referencia: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un desarrollador senior o un consultor de marketing con este nivel de especialización factura en el Perú entre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S/ 70 y S/ 120 por hora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A S/ 31, cada hora dedicada a este proyecto tiene un costo de oportunidad de S/ 40 a S/ 60 — es decir, entre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S/ 5,800 y S/ 8,700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a lo largo del proyecto.</w:t>
      </w: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03 · COMPARACIÓN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Qué cobraría una agencia por exactamente este alcance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Componente</w:t>
            </w:r>
          </w:p>
        </w:tc>
        <w:tc>
          <w:tcPr>
            <w:tcW w:type="dxa" w:w="289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Precio de mercado</w:t>
            </w:r>
          </w:p>
        </w:tc>
        <w:tc>
          <w:tcPr>
            <w:tcW w:type="dxa" w:w="2892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En esta propuesta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Implementación técnica SEO (SSR, schema, metadatos, medición) — proyecto único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4,000 – 6,000</w:t>
            </w:r>
          </w:p>
        </w:tc>
        <w:tc>
          <w:tcPr>
            <w:tcW w:type="dxa" w:w="289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>S/ 2,400</w:t>
            </w:r>
          </w:p>
        </w:tc>
      </w:tr>
      <w:tr>
        <w:trPr>
          <w:tblHeader w:val="false"/>
        </w:trPr>
        <w:tc>
          <w:tcPr>
            <w:tcW w:type="dxa" w:w="3855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Retainer SEO 2 meses (competencia media)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5,000 – 8,000</w:t>
            </w:r>
          </w:p>
        </w:tc>
        <w:tc>
          <w:tcPr>
            <w:tcW w:type="dxa" w:w="289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>incluido en los S/ 2,100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 artículos optimizados (S/ 250 – 400 c/u)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1,500 – 2,400</w:t>
            </w:r>
          </w:p>
        </w:tc>
        <w:tc>
          <w:tcPr>
            <w:tcW w:type="dxa" w:w="289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>incluido</w:t>
            </w:r>
          </w:p>
        </w:tc>
      </w:tr>
      <w:tr>
        <w:trPr>
          <w:tblHeader w:val="false"/>
        </w:trPr>
        <w:tc>
          <w:tcPr>
            <w:tcW w:type="dxa" w:w="3855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Construcción y gestión de Google Ads, 2 meses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1,700 – 3,000</w:t>
            </w:r>
          </w:p>
        </w:tc>
        <w:tc>
          <w:tcPr>
            <w:tcW w:type="dxa" w:w="289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>incluido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AEO + GEO (monitoreo y construcción de presencia)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 cobra como 20–40% extra del SEO</w:t>
            </w:r>
          </w:p>
        </w:tc>
        <w:tc>
          <w:tcPr>
            <w:tcW w:type="dxa" w:w="289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>incluido</w:t>
            </w:r>
          </w:p>
        </w:tc>
      </w:tr>
      <w:tr>
        <w:trPr>
          <w:tblHeader w:val="false"/>
        </w:trPr>
        <w:tc>
          <w:tcPr>
            <w:tcW w:type="dxa" w:w="3855"/>
            <w:gridSpan w:val="1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EQUIVALENTE DE MERCADO</w:t>
            </w:r>
          </w:p>
        </w:tc>
        <w:tc>
          <w:tcPr>
            <w:tcW w:type="dxa" w:w="5783"/>
            <w:gridSpan w:val="2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S/ 11,000 – 16,000</w:t>
            </w:r>
          </w:p>
        </w:tc>
      </w:tr>
    </w:tbl>
    <w:p>
      <w:pPr>
        <w:spacing w:after="220"/>
      </w:pP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La propuesta actual está entregando un paquete que el mercado cotiza entre S/ 11,000 y S/ 16,000 por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S/ 4,500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La diferencia no es un descuento comercial: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es trabajo regalado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04 · DECISIÓN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Tres precios posibles, y cuál conviene</w:t>
      </w:r>
    </w:p>
    <w:p>
      <w:pPr>
        <w:spacing w:after="8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1542"/>
        <w:gridCol w:w="1928"/>
        <w:gridCol w:w="1928"/>
        <w:gridCol w:w="4240"/>
      </w:tblGrid>
      <w:tr>
        <w:trPr>
          <w:tblHeader/>
        </w:trPr>
        <w:tc>
          <w:tcPr>
            <w:tcW w:type="dxa" w:w="1542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Escenario</w:t>
            </w:r>
          </w:p>
        </w:tc>
        <w:tc>
          <w:tcPr>
            <w:tcW w:type="dxa" w:w="1928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Fase 1</w:t>
            </w:r>
          </w:p>
        </w:tc>
        <w:tc>
          <w:tcPr>
            <w:tcW w:type="dxa" w:w="1928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Fase 2</w:t>
            </w:r>
          </w:p>
        </w:tc>
        <w:tc>
          <w:tcPr>
            <w:tcW w:type="dxa" w:w="424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Cuándo tiene sentido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A · Entrada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  <w:p>
            <w:pPr>
              <w:spacing w:after="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S/ 4,500</w:t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S/ 31/h</w:t>
            </w:r>
          </w:p>
        </w:tc>
        <w:tc>
          <w:tcPr>
            <w:tcW w:type="dxa" w:w="192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2,400</w:t>
            </w:r>
          </w:p>
        </w:tc>
        <w:tc>
          <w:tcPr>
            <w:tcW w:type="dxa" w:w="192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2,100</w:t>
            </w:r>
          </w:p>
        </w:tc>
        <w:tc>
          <w:tcPr>
            <w:tcW w:type="dxa" w:w="4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Solo si el cliente firma </w:t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desde ahora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 la continuidad mensual del mes 4 en adelante. Sin ese compromiso escrito, es una pérdida.</w:t>
            </w:r>
          </w:p>
        </w:tc>
      </w:tr>
      <w:tr>
        <w:trPr>
          <w:tblHeader w:val="false"/>
        </w:trPr>
        <w:tc>
          <w:tcPr>
            <w:tcW w:type="dxa" w:w="154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70016"/>
                <w:sz w:val="19"/>
                <w:szCs w:val="19"/>
              </w:rPr>
              <w:t xml:space="preserve">B · Justo</w:t>
            </w: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/>
            </w:r>
          </w:p>
          <w:p>
            <w:pPr>
              <w:spacing w:after="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>S/ 8,500</w:t>
            </w:r>
          </w:p>
          <w:p>
            <w:pPr>
              <w:spacing w:after="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>S/ 59/h</w:t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70016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192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3,900</w:t>
            </w:r>
          </w:p>
        </w:tc>
        <w:tc>
          <w:tcPr>
            <w:tcW w:type="dxa" w:w="192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4,600</w:t>
            </w:r>
          </w:p>
        </w:tc>
        <w:tc>
          <w:tcPr>
            <w:tcW w:type="dxa" w:w="424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Sigue estando </w:t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20–45% por debajo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 de una agencia, que es un argumento comercial real, y deja margen para hacer el trabajo bien y sostenerlo.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C · Valor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  <w:p>
            <w:pPr>
              <w:spacing w:after="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S/ 11,000</w:t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S/ 76/h</w:t>
            </w:r>
          </w:p>
        </w:tc>
        <w:tc>
          <w:tcPr>
            <w:tcW w:type="dxa" w:w="192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4,800</w:t>
            </w:r>
          </w:p>
        </w:tc>
        <w:tc>
          <w:tcPr>
            <w:tcW w:type="dxa" w:w="192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6,200</w:t>
            </w:r>
          </w:p>
        </w:tc>
        <w:tc>
          <w:tcPr>
            <w:tcW w:type="dxa" w:w="4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Precio alineado al mercado para un cliente B2B del sector financiero. Defendible si se presenta contra el valor de un solo cliente de factoring captado.</w:t>
            </w:r>
          </w:p>
        </w:tc>
      </w:tr>
    </w:tbl>
    <w:p>
      <w:pPr>
        <w:spacing w:after="20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Recomendación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Cotizar el Escenario B: S/ 8,500.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Es el precio que permite entregar los 22 entregables comprometidos sin recortar calidad, y sigue siendo claramente más barato que cualquier agencia formal. Presentarlo junto al Escenario C —no solo—: cuando el cliente ve dos números, elige entre ellos en lugar de negociar el único que le mostraron.</w:t>
      </w: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05 · PLAN B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Si el tope real del cliente es S/ 4,500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La regla es una sola: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no se baja el precio, se baja el alcance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Un descuento del 47% enseña al cliente que el precio inicial era inflado; un recorte de alcance enseña que cada entregable cuesta.</w:t>
      </w:r>
    </w:p>
    <w:p>
      <w:pPr>
        <w:spacing w:after="120"/>
      </w:pP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Este es el recorte exacto que hace que S/ 4,500 sea un precio honesto: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626"/>
        <w:gridCol w:w="2120"/>
        <w:gridCol w:w="2892"/>
      </w:tblGrid>
      <w:tr>
        <w:trPr>
          <w:tblHeader/>
        </w:trPr>
        <w:tc>
          <w:tcPr>
            <w:tcW w:type="dxa" w:w="4626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Ajuste</w:t>
            </w:r>
          </w:p>
        </w:tc>
        <w:tc>
          <w:tcPr>
            <w:tcW w:type="dxa" w:w="212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Ahorro</w:t>
            </w:r>
          </w:p>
        </w:tc>
        <w:tc>
          <w:tcPr>
            <w:tcW w:type="dxa" w:w="2892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Qué se conserva</w:t>
            </w:r>
          </w:p>
        </w:tc>
      </w:tr>
      <w:tr>
        <w:trPr>
          <w:tblHeader w:val="false"/>
        </w:trPr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La Fase 1 se mantiene completa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 (S/ 3,900)</w:t>
            </w:r>
          </w:p>
        </w:tc>
        <w:tc>
          <w:tcPr>
            <w:tcW w:type="dxa" w:w="21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—</w:t>
            </w:r>
          </w:p>
        </w:tc>
        <w:tc>
          <w:tcPr>
            <w:tcW w:type="dxa" w:w="289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Toda la base técnica: es lo que no se puede recortar sin invalidar el resto</w:t>
            </w:r>
          </w:p>
        </w:tc>
      </w:tr>
      <w:tr>
        <w:trPr>
          <w:tblHeader w:val="false"/>
        </w:trPr>
        <w:tc>
          <w:tcPr>
            <w:tcW w:type="dxa" w:w="4626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Artículos: de 6 a 3</w:t>
            </w:r>
          </w:p>
        </w:tc>
        <w:tc>
          <w:tcPr>
            <w:tcW w:type="dxa" w:w="212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900</w:t>
            </w:r>
          </w:p>
        </w:tc>
        <w:tc>
          <w:tcPr>
            <w:tcW w:type="dxa" w:w="289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Los 3 de mayor intención comercial</w:t>
            </w:r>
          </w:p>
        </w:tc>
      </w:tr>
      <w:tr>
        <w:trPr>
          <w:tblHeader w:val="false"/>
        </w:trPr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Google Ads sale del paquete y pasa a fee mensual aparte</w:t>
            </w:r>
          </w:p>
        </w:tc>
        <w:tc>
          <w:tcPr>
            <w:tcW w:type="dxa" w:w="21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1,200</w:t>
            </w:r>
          </w:p>
        </w:tc>
        <w:tc>
          <w:tcPr>
            <w:tcW w:type="dxa" w:w="289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 cotiza a S/ 700/mes o 15% de la inversión, desde el mes 1</w:t>
            </w:r>
          </w:p>
        </w:tc>
      </w:tr>
      <w:tr>
        <w:trPr>
          <w:tblHeader w:val="false"/>
        </w:trPr>
        <w:tc>
          <w:tcPr>
            <w:tcW w:type="dxa" w:w="4626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Monitoreo GEO: de 2 mediciones a 1</w:t>
            </w:r>
          </w:p>
        </w:tc>
        <w:tc>
          <w:tcPr>
            <w:tcW w:type="dxa" w:w="212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300</w:t>
            </w:r>
          </w:p>
        </w:tc>
        <w:tc>
          <w:tcPr>
            <w:tcW w:type="dxa" w:w="289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La medición inicial de línea base</w:t>
            </w:r>
          </w:p>
        </w:tc>
      </w:tr>
      <w:tr>
        <w:trPr>
          <w:tblHeader w:val="false"/>
        </w:trPr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Dashboard Looker Studio pasa a opcional</w:t>
            </w:r>
          </w:p>
        </w:tc>
        <w:tc>
          <w:tcPr>
            <w:tcW w:type="dxa" w:w="21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500</w:t>
            </w:r>
          </w:p>
        </w:tc>
        <w:tc>
          <w:tcPr>
            <w:tcW w:type="dxa" w:w="289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Los reportes mensuales se mantienen</w:t>
            </w:r>
          </w:p>
        </w:tc>
      </w:tr>
      <w:tr>
        <w:trPr>
          <w:tblHeader w:val="false"/>
        </w:trPr>
        <w:tc>
          <w:tcPr>
            <w:tcW w:type="dxa" w:w="6746"/>
            <w:gridSpan w:val="2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 1 COMPLETA + FASE 2 REDUCIDA</w:t>
            </w:r>
          </w:p>
        </w:tc>
        <w:tc>
          <w:tcPr>
            <w:tcW w:type="dxa" w:w="2892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S/ 4,500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single" w:color="D9A86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1D3A"/>
                <w:sz w:val="19"/>
                <w:szCs w:val="19"/>
              </w:rPr>
              <w:t xml:space="preserve">Efecto secundario deseable: al sacar Google Ads del precio cerrado y convertirlo en un fee mensual, se crea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1D3A"/>
                <w:sz w:val="19"/>
                <w:szCs w:val="19"/>
              </w:rPr>
              <w:t xml:space="preserve">ingreso recurrente desde el mes 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1D3A"/>
                <w:sz w:val="19"/>
                <w:szCs w:val="19"/>
              </w:rPr>
              <w:t xml:space="preserve"> en lugar de un pago único que se agota.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06 · RECURRENCIA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El precio real no está en el proyecto: está en el mes 4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Este tipo de trabajo se cobra en el Perú como retainer, no como proyecto cerrado. La Fase 1 y la Fase 2 son la puerta de entrada; el ingreso está en lo que viene después.</w:t>
      </w:r>
    </w:p>
    <w:p>
      <w:pPr>
        <w:spacing w:after="12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433"/>
        <w:gridCol w:w="2602"/>
        <w:gridCol w:w="2603"/>
      </w:tblGrid>
      <w:tr>
        <w:trPr>
          <w:tblHeader/>
        </w:trPr>
        <w:tc>
          <w:tcPr>
            <w:tcW w:type="dxa" w:w="4433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Concepto</w:t>
            </w:r>
          </w:p>
        </w:tc>
        <w:tc>
          <w:tcPr>
            <w:tcW w:type="dxa" w:w="2602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Mensual sugerido</w:t>
            </w:r>
          </w:p>
        </w:tc>
        <w:tc>
          <w:tcPr>
            <w:tcW w:type="dxa" w:w="2603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Referencia de mercado</w:t>
            </w:r>
          </w:p>
        </w:tc>
      </w:tr>
      <w:tr>
        <w:trPr>
          <w:tblHeader w:val="false"/>
        </w:trPr>
        <w:tc>
          <w:tcPr>
            <w:tcW w:type="dxa" w:w="443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Retainer SEO + contenido + AEO (2 artículos/mes, optimización continua)</w:t>
            </w:r>
          </w:p>
        </w:tc>
        <w:tc>
          <w:tcPr>
            <w:tcW w:type="dxa" w:w="260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S/ 1,800 – 2,500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260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2,500 – 4,000 (competencia media)</w:t>
            </w:r>
          </w:p>
        </w:tc>
      </w:tr>
      <w:tr>
        <w:trPr>
          <w:tblHeader w:val="false"/>
        </w:trPr>
        <w:tc>
          <w:tcPr>
            <w:tcW w:type="dxa" w:w="4433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Monitoreo GEO mensual (90 consultas + informe)</w:t>
            </w:r>
          </w:p>
        </w:tc>
        <w:tc>
          <w:tcPr>
            <w:tcW w:type="dxa" w:w="260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S/ 400 – 600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2603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Servicio nuevo, sin techo fijado</w:t>
            </w:r>
          </w:p>
        </w:tc>
      </w:tr>
      <w:tr>
        <w:trPr>
          <w:tblHeader w:val="false"/>
        </w:trPr>
        <w:tc>
          <w:tcPr>
            <w:tcW w:type="dxa" w:w="443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Gestión de Google Ads</w:t>
            </w:r>
          </w:p>
        </w:tc>
        <w:tc>
          <w:tcPr>
            <w:tcW w:type="dxa" w:w="260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15% de la inversión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(mínimo S/ 700)</w:t>
            </w:r>
          </w:p>
        </w:tc>
        <w:tc>
          <w:tcPr>
            <w:tcW w:type="dxa" w:w="260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10–20%, estándar 15%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Valor del cliente a 12 meses (Escenario B + retainer de S/ 2,300)</w:t>
            </w:r>
          </w:p>
        </w:tc>
        <w:tc>
          <w:tcPr>
            <w:tcW w:type="dxa" w:w="3855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Monto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Fase 1 + Fase 2 (meses 1 a 3)</w:t>
            </w:r>
          </w:p>
        </w:tc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8,500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Retainer meses 4 a 12 (9 meses × S/ 2,300)</w:t>
            </w:r>
          </w:p>
        </w:tc>
        <w:tc>
          <w:tcPr>
            <w:tcW w:type="dxa" w:w="3855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S/ 20,700</w:t>
            </w:r>
          </w:p>
        </w:tc>
      </w:tr>
      <w:tr>
        <w:trPr>
          <w:tblHeader w:val="false"/>
        </w:trPr>
        <w:tc>
          <w:tcPr>
            <w:tcW w:type="dxa" w:w="5783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12 MESES</w:t>
            </w:r>
          </w:p>
        </w:tc>
        <w:tc>
          <w:tcPr>
            <w:tcW w:type="dxa" w:w="3855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S/ 29,200</w:t>
            </w:r>
          </w:p>
        </w:tc>
      </w:tr>
    </w:tbl>
    <w:p>
      <w:pPr>
        <w:spacing w:after="160"/>
      </w:pP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Por eso el precio del proyecto inicial importa menos que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cerrar la continuidad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Pero un proyecto cobrado a S/ 31 la hora no financia el tiempo necesario para llegar al mes 4 con resultados que justifiquen el retainer: se entra en el círculo de trabajar barato, entregar apurado y no poder renovar.</w:t>
      </w: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07 · NEGOCIACIÓN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Cómo defender el precio sin bajarlo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1. Anclar en el valor de un cliente, no en las horas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Un solo cliente de factoring captado deja una comisión que supera varias veces el costo del proyecto. La pregunta que hay que instalar no es "¿cuánto cuesta?", sino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"¿cuántos clientes necesita para que esto se pague solo?"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Si la respuesta es uno o dos, el precio dejó de ser el tema.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2. Cotizar el costo de no hacerlo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Hoy Advance no mide un solo lead y es invisible en los motores de IA. Cada mes sin medición son decisiones a ciegas, y cada mes sin GEO es ventaja que gana el competidor que llegue primero.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Ese costo es real y se puede nombrar en la reunión.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3. Mostrar el precio de mercado antes de decir el propio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La tabla de la página 2 sirve para eso. Si el cliente escucha "S/ 8,500" después de haber visto que una agencia cobra entre S/ 11,000 y S/ 16,000, escucha una oferta. Si lo escucha sin contexto, escucha un precio alto.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4. Vender entregables verificables, no horas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La propuesta lista 22 entregables con formato y criterio de aceptación. Ese es el argumento: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no se está cobrando tiempo, se está cobrando una lista de cosas que existirán y se pueden comprobar una por una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5. Ofrecer opciones, no descuentos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Presentar siempre dos o tres alcances con precios distintos. El cliente que puede elegir compara entre las opciones; el cliente que recibe un solo precio negocia ese precio.</w:t>
      </w:r>
    </w:p>
    <w:p>
      <w:pPr>
        <w:spacing w:after="240"/>
      </w:pP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001D3A"/>
          <w:sz w:val="26"/>
          <w:szCs w:val="26"/>
        </w:rPr>
        <w:t xml:space="preserve">Errores que hay que evitar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Bajar el precio en lugar del alcance.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Un descuento del 40% no se recupera nunca con ese cliente.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Incluir la gestión de Ads dentro de un precio cerrado sin fecha de fin.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Es trabajo mensual: se cobra mensual.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Aceptar el grueso del pago contra entrega final.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50% al inicio de cada fase, sin excepción.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No cobrar los cambios de alcance.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Artículos extra, campañas extra o rediseños se cotizan aparte desde el día uno.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Prometer posiciones o plazos de SEO.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Se comprometen entregables y avances medibles, nunca un puesto en Google.</w:t>
      </w:r>
    </w:p>
    <w:p>
      <w:pPr>
        <w:spacing w:after="300"/>
      </w:pPr>
    </w:p>
    <w:p>
      <w:pPr>
        <w:pBdr>
          <w:bottom w:val="single" w:color="B70016" w:sz="12" w:space="4"/>
        </w:pBdr>
        <w:spacing w:after="160" w:before="0"/>
      </w:pP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592"/>
          <w:sz w:val="18"/>
          <w:szCs w:val="18"/>
        </w:rPr>
        <w:t xml:space="preserve">Documento interno de análisis de precio  ·  Setiembre 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4" w:space="8"/>
      </w:pBdr>
      <w:jc w:val="center"/>
    </w:pPr>
    <w:r>
      <w:rPr>
        <w:rFonts w:ascii="Arial" w:cs="Arial" w:eastAsia="Arial" w:hAnsi="Arial"/>
        <w:color w:val="7A8592"/>
        <w:spacing w:val="20"/>
        <w:sz w:val="14"/>
        <w:szCs w:val="14"/>
      </w:rPr>
      <w:t xml:space="preserve">Análisis de precio y tarifa recomendada   |   Documento interno   |   Setiembre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B700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D596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2026-09-09T18:40:51.007Z</dcterms:created>
  <dcterms:modified xsi:type="dcterms:W3CDTF">2026-09-09T18:40:51.008Z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