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B70016"/>
          <w:spacing w:val="50"/>
          <w:sz w:val="17"/>
          <w:szCs w:val="17"/>
        </w:rPr>
        <w:t xml:space="preserve">PROPUESTA COMERCIAL</w:t>
      </w:r>
    </w:p>
    <w:p>
      <w:pPr>
        <w:pBdr>
          <w:bottom w:val="single" w:color="B70016" w:sz="12" w:space="4"/>
        </w:pBd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1D3A"/>
          <w:sz w:val="44"/>
          <w:szCs w:val="44"/>
        </w:rPr>
        <w:t xml:space="preserve">Posicionamiento digital: SEM, SEO, AEO y GEO</w:t>
      </w:r>
    </w:p>
    <w:p>
      <w:pPr>
        <w:spacing w:after="300" w:line="300"/>
      </w:pPr>
      <w:r>
        <w:rPr>
          <w:rFonts w:ascii="Calibri" w:cs="Calibri" w:eastAsia="Calibri" w:hAnsi="Calibri"/>
          <w:color w:val="4D5966"/>
          <w:sz w:val="24"/>
          <w:szCs w:val="24"/>
        </w:rPr>
        <w:t xml:space="preserve">Implementación técnica y estrategia de posicionamiento para advance-group.pe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2506"/>
        <w:gridCol w:w="7132"/>
      </w:tblGrid>
      <w:tr>
        <w:trPr>
          <w:tblHeader w:val="false"/>
        </w:trPr>
        <w:tc>
          <w:tcPr>
            <w:tcW w:type="dxa" w:w="250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Cliente</w:t>
            </w:r>
          </w:p>
        </w:tc>
        <w:tc>
          <w:tcPr>
            <w:tcW w:type="dxa" w:w="713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Advance Group  ·  Advance Factoring  ·  Advance Capital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Sitio</w:t>
            </w:r>
          </w:p>
        </w:tc>
        <w:tc>
          <w:tcPr>
            <w:tcW w:type="dxa" w:w="713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advance-group.pe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Fecha</w:t>
            </w:r>
          </w:p>
        </w:tc>
        <w:tc>
          <w:tcPr>
            <w:tcW w:type="dxa" w:w="713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Setiembre 2026  ·  Propuesta válida por 30 días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Alcance</w:t>
            </w:r>
          </w:p>
        </w:tc>
        <w:tc>
          <w:tcPr>
            <w:tcW w:type="dxa" w:w="713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 fases  ·  11 semanas  ·  4 frentes (SEO, SEM, AEO, GEO)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Inversión total</w:t>
            </w:r>
          </w:p>
        </w:tc>
        <w:tc>
          <w:tcPr>
            <w:tcW w:type="dxa" w:w="713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S/ 4,500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  (no incluye inversión publicitaria en Google Ads)</w:t>
            </w:r>
          </w:p>
        </w:tc>
      </w:tr>
    </w:tbl>
    <w:p>
      <w:pPr>
        <w:spacing w:after="3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RESUMEN EJECUTIVO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La plataforma de Advance Group está bien construida como producto, pero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hoy es prácticamente invisible para los buscadores y completamente invisible para los motores de 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La web se pinta 100% con JavaScript, no tiene metadatos por página, no tiene sitemap, no tiene datos estructurados y —lo más costoso—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no mide un solo lead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: el cotizador de factoring, el simulador de inversión y el formulario de contacto generan oportunidades que nadie está registrando.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Esta propuesta resuelve eso en dos fases. La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Fase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hace el sitio legible, rastreable y medible: es la base técnica sin la cual cualquier inversión en estrategia se desperdicia. La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Fase 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convierte esa base en tráfico calificado, leads medidos y presencia en las respuestas de ChatGPT, Perplexity y Google AI Overviews.</w:t>
      </w:r>
    </w:p>
    <w:tbl>
      <w:tblPr>
        <w:tblW w:type="dxa" w:w="9638"/>
        <w:tblBorders>
          <w:top w:val="none" w:color="FFFFFF" w:sz="0"/>
          <w:left w:val="single" w:color="D9A86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>El orden importa: invertir en estrategia antes de resolver lo técnico es pagar por tráfico que llega a una página que el buscador no puede leer.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01 · DIAGNÓSTICO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Qué encontramos en la plataforma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Se auditó el código del sitio (Angular 21 + NestJS 11). Estos son los ocho hallazgos que hoy bloquean el posicionamiento, ordenados por impacto.</w:t>
      </w:r>
    </w:p>
    <w:p>
      <w:pPr>
        <w:spacing w:after="12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386"/>
        <w:gridCol w:w="4241"/>
        <w:gridCol w:w="5011"/>
      </w:tblGrid>
      <w:tr>
        <w:trPr>
          <w:tblHeader/>
        </w:trPr>
        <w:tc>
          <w:tcPr>
            <w:tcW w:type="dxa" w:w="386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424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Hallazgo</w:t>
            </w:r>
          </w:p>
        </w:tc>
        <w:tc>
          <w:tcPr>
            <w:tcW w:type="dxa" w:w="501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Por qué cuesta dinero</w:t>
            </w:r>
          </w:p>
        </w:tc>
      </w:tr>
      <w:tr>
        <w:trPr>
          <w:tblHeader w:val="false"/>
        </w:trPr>
        <w:tc>
          <w:tcPr>
            <w:tcW w:type="dxa" w:w="38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</w:t>
            </w:r>
          </w:p>
        </w:tc>
        <w:tc>
          <w:tcPr>
            <w:tcW w:type="dxa" w:w="424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La web se pinta 100% con JavaScript (SPA sin renderizado en servidor). El HTML que recibe un rastreador es, en la práctica, un contenedor vacío.</w:t>
            </w:r>
          </w:p>
        </w:tc>
        <w:tc>
          <w:tcPr>
            <w:tcW w:type="dxa" w:w="501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Google renderiza JS con retraso y de forma parcial. </w:t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Los bots de IA (GPTBot, PerplexityBot, ClaudeBot) no ejecutan JavaScript en absoluto: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 para ellos el sitio está en blanco.</w:t>
            </w:r>
          </w:p>
        </w:tc>
      </w:tr>
      <w:tr>
        <w:trPr>
          <w:tblHeader w:val="false"/>
        </w:trPr>
        <w:tc>
          <w:tcPr>
            <w:tcW w:type="dxa" w:w="386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</w:t>
            </w:r>
          </w:p>
        </w:tc>
        <w:tc>
          <w:tcPr>
            <w:tcW w:type="dxa" w:w="424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Un solo título y una sola meta description en index.html para todo el sitio.</w:t>
            </w:r>
          </w:p>
        </w:tc>
        <w:tc>
          <w:tcPr>
            <w:tcW w:type="dxa" w:w="501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Inicio, Factoring, Capital y Contacto compiten con el mismo texto en resultados. Cero control sobre el clic.</w:t>
            </w:r>
          </w:p>
        </w:tc>
      </w:tr>
      <w:tr>
        <w:trPr>
          <w:tblHeader w:val="false"/>
        </w:trPr>
        <w:tc>
          <w:tcPr>
            <w:tcW w:type="dxa" w:w="38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</w:t>
            </w:r>
          </w:p>
        </w:tc>
        <w:tc>
          <w:tcPr>
            <w:tcW w:type="dxa" w:w="424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No existe robots.txt ni sitemap.xml.</w:t>
            </w:r>
          </w:p>
        </w:tc>
        <w:tc>
          <w:tcPr>
            <w:tcW w:type="dxa" w:w="501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Las páginas se descubren por azar, y </w:t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/admin y /portal quedan abiertos al rastreo.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6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4</w:t>
            </w:r>
          </w:p>
        </w:tc>
        <w:tc>
          <w:tcPr>
            <w:tcW w:type="dxa" w:w="424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Cero datos estructurados: sin Organization, FinancialService, FAQPage ni BreadcrumbList.</w:t>
            </w:r>
          </w:p>
        </w:tc>
        <w:tc>
          <w:tcPr>
            <w:tcW w:type="dxa" w:w="501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Sin resultados enriquecidos, sin panel de marca en Google, y sin el formato del que los motores de IA extraen respuestas.</w:t>
            </w:r>
          </w:p>
        </w:tc>
      </w:tr>
      <w:tr>
        <w:trPr>
          <w:tblHeader w:val="false"/>
        </w:trPr>
        <w:tc>
          <w:tcPr>
            <w:tcW w:type="dxa" w:w="38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5</w:t>
            </w:r>
          </w:p>
        </w:tc>
        <w:tc>
          <w:tcPr>
            <w:tcW w:type="dxa" w:w="424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Sin Open Graph ni Twitter Cards.</w:t>
            </w:r>
          </w:p>
        </w:tc>
        <w:tc>
          <w:tcPr>
            <w:tcW w:type="dxa" w:w="501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Los enlaces compartidos por WhatsApp o LinkedIn salen sin imagen ni descripción — crítico en un negocio B2B que se mueve por referidos.</w:t>
            </w:r>
          </w:p>
        </w:tc>
      </w:tr>
      <w:tr>
        <w:trPr>
          <w:tblHeader w:val="false"/>
        </w:trPr>
        <w:tc>
          <w:tcPr>
            <w:tcW w:type="dxa" w:w="386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</w:t>
            </w:r>
          </w:p>
        </w:tc>
        <w:tc>
          <w:tcPr>
            <w:tcW w:type="dxa" w:w="424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Sin analítica ni medición: no hay GA4, Tag Manager ni Search Console.</w:t>
            </w:r>
          </w:p>
        </w:tc>
        <w:tc>
          <w:tcPr>
            <w:tcW w:type="dxa" w:w="501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El cotizador, el simulador y el formulario de contacto generan leads que </w:t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hoy nadie está midiendo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. Sin datos no hay costo por lead ni optimización posible.</w:t>
            </w:r>
          </w:p>
        </w:tc>
      </w:tr>
      <w:tr>
        <w:trPr>
          <w:tblHeader w:val="false"/>
        </w:trPr>
        <w:tc>
          <w:tcPr>
            <w:tcW w:type="dxa" w:w="38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7</w:t>
            </w:r>
          </w:p>
        </w:tc>
        <w:tc>
          <w:tcPr>
            <w:tcW w:type="dxa" w:w="424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Soft 404: nginx responde 200 OK con el index ante cualquier URL inexistente.</w:t>
            </w:r>
          </w:p>
        </w:tc>
        <w:tc>
          <w:tcPr>
            <w:tcW w:type="dxa" w:w="501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Google puede indexar URLs basura y diluir la autoridad del dominio.</w:t>
            </w:r>
          </w:p>
        </w:tc>
      </w:tr>
      <w:tr>
        <w:trPr>
          <w:tblHeader w:val="false"/>
        </w:trPr>
        <w:tc>
          <w:tcPr>
            <w:tcW w:type="dxa" w:w="386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</w:t>
            </w:r>
          </w:p>
        </w:tc>
        <w:tc>
          <w:tcPr>
            <w:tcW w:type="dxa" w:w="424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No hay contenido de fondo: ni blog, ni recursos, ni preguntas frecuentes.</w:t>
            </w:r>
          </w:p>
        </w:tc>
        <w:tc>
          <w:tcPr>
            <w:tcW w:type="dxa" w:w="501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Sin contenido no hay búsquedas de cola larga — y no hay nada que un modelo de IA pueda citar.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02 · MARCO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Los cuatro frentes, y por qué los cuatro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Los cuatro comparten la misma base técnica —HTML servido, contenido estructurado y medición—, por eso una sola implementación (Fase 1) los habilita a todos.</w:t>
      </w:r>
    </w:p>
    <w:p>
      <w:pPr>
        <w:spacing w:after="12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1157"/>
        <w:gridCol w:w="2891"/>
        <w:gridCol w:w="5590"/>
      </w:tblGrid>
      <w:tr>
        <w:trPr>
          <w:tblHeader/>
        </w:trPr>
        <w:tc>
          <w:tcPr>
            <w:tcW w:type="dxa" w:w="1157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Sigla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Qué es</w:t>
            </w:r>
          </w:p>
        </w:tc>
        <w:tc>
          <w:tcPr>
            <w:tcW w:type="dxa" w:w="559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Qué significa para Advance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SEO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Posicionamiento orgánico en Google.</w:t>
            </w:r>
          </w:p>
        </w:tc>
        <w:tc>
          <w:tcPr>
            <w:tcW w:type="dxa" w:w="55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Captar a quien busca "factoring Perú", "adelanto de facturas", "dónde invertir mi dinero". Tráfico sostenido, sin costo por clic.</w:t>
            </w:r>
          </w:p>
        </w:tc>
      </w:tr>
      <w:tr>
        <w:trPr>
          <w:tblHeader w:val="false"/>
        </w:trPr>
        <w:tc>
          <w:tcPr>
            <w:tcW w:type="dxa" w:w="115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SEM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Publicidad pagada (Google Ads).</w:t>
            </w:r>
          </w:p>
        </w:tc>
        <w:tc>
          <w:tcPr>
            <w:tcW w:type="dxa" w:w="559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Leads desde la primera semana, mientras el orgánico madura. Y defensa de marca: hoy un competidor puede pujar por "Advance Factoring".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AEO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Optimización para motores de respuesta: AI Overviews, fragmentos destacados, "otras preguntas".</w:t>
            </w:r>
          </w:p>
        </w:tc>
        <w:tc>
          <w:tcPr>
            <w:tcW w:type="dxa" w:w="55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Seis de cada diez búsquedas ya terminan sin clic. Si Google va a responder por usted, que responda con contenido de Advance.</w:t>
            </w:r>
          </w:p>
        </w:tc>
      </w:tr>
      <w:tr>
        <w:trPr>
          <w:tblHeader w:val="false"/>
        </w:trPr>
        <w:tc>
          <w:tcPr>
            <w:tcW w:type="dxa" w:w="1157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GEO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Optimización para motores generativos: ChatGPT, Perplexity, Gemini, Claude.</w:t>
            </w:r>
          </w:p>
        </w:tc>
        <w:tc>
          <w:tcPr>
            <w:tcW w:type="dxa" w:w="559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Cada vez más gerentes financieros preguntan a un asistente qué empresas de factoring hay en Perú. Estar o no en esa respuesta define el pipeline de los próximos años.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03 · FASE 1 DE 2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Implementación: hacer el sitio legible, rastreable y medible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Objetivo de la fase</w:t>
            </w:r>
          </w:p>
        </w:tc>
        <w:tc>
          <w:tcPr>
            <w:tcW w:type="dxa" w:w="241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Plazo</w:t>
            </w:r>
          </w:p>
        </w:tc>
        <w:tc>
          <w:tcPr>
            <w:tcW w:type="dxa" w:w="2409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Inversión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Que Google y los asistentes de IA puedan leer, entender y citar a Advance — y que cada lead quede registrado desde el primer día.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3 semanas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24"/>
                <w:szCs w:val="24"/>
              </w:rPr>
              <w:t xml:space="preserve">S/ 2,400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24"/>
                <w:szCs w:val="24"/>
              </w:rPr>
              <w:t xml:space="preserve"/>
            </w:r>
          </w:p>
        </w:tc>
      </w:tr>
    </w:tbl>
    <w:p>
      <w:pPr>
        <w:spacing w:after="22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3.1  Renderizado en servidor (prerender)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Qué: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incorporamos @angular/ssr en modo prerender para las rutas públicas —inicio, Factoring, Capital, contacto, libro de reclamaciones y 404—: cada una genera su HTML completo en el build.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Cómo: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el resultado estático se sirve con el mismo nginx y el mismo Docker que ya están en Coolify,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sin costo de infraestructura adicional y sin servidor Node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El portal de inversionistas y el admin siguen del lado del cliente, como corresponde a zonas privadas.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Por qué: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es el cambio que convierte al sitio de invisible a indexable, tanto para Google como para los bots de IA. Todo lo demás depende de esto.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3.2  SEO técnico on-page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Servicio centralizado de metadatos: título, descripción, canonical, Open Graph y Twitter Cards, únicos por ruta.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robots.txt con permiso explícito a GPTBot, OAI-SearchBot, PerplexityBot y ClaudeBot, y bloqueo de /admin y /portal.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sitemap.xml con las rutas públicas y sus prioridades, enviado a Google y Bing.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Corrección del soft 404: las rutas inexistentes devuelven un 404 real.</w:t>
      </w:r>
    </w:p>
    <w:p>
      <w:pPr>
        <w:pStyle w:val="ListParagraph"/>
        <w:numPr>
          <w:ilvl w:val="0"/>
          <w:numId w:val="2"/>
        </w:numPr>
        <w:spacing w:after="7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Jerarquía de encabezados, textos alternativos de imágenes y enlazado interno, revisados página por página.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3.3  Datos estructurados (el idioma de la IA)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JSON-LD dentro del HTML ya renderizado: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Organization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LocalBusiness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para las tres oficinas,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FinancialService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para Advance Factoring y Advance Capital,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FAQPage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en cada landing y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BreadcrumbList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Es el formato con el que Google arma el panel de marca y con el que los modelos de IA entienden a qué se dedica una empresa.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3.4  Capa GEO: llms.txt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Un resumen estructurado en texto plano —quiénes son, qué hace cada empresa, tasas, requisitos, contacto— publicado en la raíz del dominio.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Es el estándar emergente que los modelos de lenguaje leen para entender un negocio.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Costo marginal, ventaja real: casi ninguna financiera peruana lo tiene todavía.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3.5  Medición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GA4 y Tag Manager instalados; Search Console y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Bing Webmaster Tools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verificados —Bing alimenta la búsqueda de ChatGPT, no es opcional—. Eventos de conversión definidos uno por uno: cotización de factoring completada, simulación de inversión completada, formulario de contacto enviado, clic a WhatsApp y clic a teléfono. Google Business Profile creado y optimizado para las tres oficinas.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3.6  Rendimiento (Core Web Vitals)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Auto-hospedaje de tipografías, precarga del elemento principal, revisión de INP y CLS. Meta verificable: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Lighthouse ≥ 90 en móvil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La velocidad es factor de ranking y afecta directamente la conversión del cotizador.</w:t>
      </w:r>
    </w:p>
    <w:p>
      <w:pPr>
        <w:pStyle w:val="Heading2"/>
        <w:spacing w:after="120" w:before="380"/>
      </w:pPr>
      <w:r>
        <w:rPr>
          <w:rFonts w:ascii="Arial" w:cs="Arial" w:eastAsia="Arial" w:hAnsi="Arial"/>
          <w:b/>
          <w:bCs/>
          <w:color w:val="001D3A"/>
          <w:sz w:val="26"/>
          <w:szCs w:val="26"/>
        </w:rPr>
        <w:t xml:space="preserve">Entregables de la Fase 1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Cada entregable tiene un formato y un criterio de aceptación explícito. Nada se da por cerrado sin verificación.</w:t>
      </w:r>
    </w:p>
    <w:p>
      <w:pPr>
        <w:spacing w:after="12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82"/>
        <w:gridCol w:w="2891"/>
        <w:gridCol w:w="2891"/>
        <w:gridCol w:w="3374"/>
      </w:tblGrid>
      <w:tr>
        <w:trPr>
          <w:tblHeader/>
        </w:trPr>
        <w:tc>
          <w:tcPr>
            <w:tcW w:type="dxa" w:w="482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Entregable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Formato</w:t>
            </w:r>
          </w:p>
        </w:tc>
        <w:tc>
          <w:tcPr>
            <w:tcW w:type="dxa" w:w="3374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Criterio de aceptación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Prerender de 6 rutas públicas en producción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Rama + Pull Request + despliegue en Coolify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Cada ruta devuelve el HTML completo con el contenido visible, sin necesidad de ejecutar JavaScript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Metadatos únicos por ruta (título, descripción, canonical, Open Graph, Twitter)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Código + hoja de control con los metadatos de las 6 rutas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Validación en Facebook Sharing Debugger y vista previa correcta al compartir por WhatsApp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Datos estructurados JSON-LD (5 tipos)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Código dentro del HTML renderizado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Rich Results Test de Google sin errores en las 6 rutas, con captura de pantalla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robots.txt, sitemap.xml, llms.txt y llms-full.txt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Archivos publicados en la raíz del dominio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Accesibles públicamente; sitemap aceptado por Search Console y Bing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Corrección del soft 404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Configuración de nginx + ruta 404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Una URL inexistente devuelve HTTP 404, no 200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GA4 + Google Tag Manager instalados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Contenedor publicado + documento de configuración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DebugView registra los 5 eventos de conversión, probados uno por uno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7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Search Console y Bing Webmaster verificados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Propiedades activas con sitemap enviado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Ambas verificadas y con acceso de propietario para Advance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 fichas de Google Business Profile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Fichas publicadas y verificadas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Las tres oficinas aparecen en Google Maps con datos, horarios, fotos y categoría correcta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9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Informe técnico antes / después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PDF de 8 a 10 páginas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Lighthouse móvil y escritorio comparados, prueba de rastreo, y checklist de 20 puntos cerrado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10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Documento de accesos y titularidad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PDF con credenciales y titulares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Todas las cuentas (GA4, GTM, Search Console, Bing, Business Profile, Ads) quedan a nombre de Advance Group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11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Sesión de traspaso y capacitación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Reunión de 45 minutos, grabada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El equipo de Advance sabe leer sus propios reportes y dónde ver sus leads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04 · FASE 2 DE 2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Estrategia: convertir la base técnica en tráfico y leads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Objetivo de la fase</w:t>
            </w:r>
          </w:p>
        </w:tc>
        <w:tc>
          <w:tcPr>
            <w:tcW w:type="dxa" w:w="241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Plazo</w:t>
            </w:r>
          </w:p>
        </w:tc>
        <w:tc>
          <w:tcPr>
            <w:tcW w:type="dxa" w:w="2409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Inversión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Contenido que posiciona, campañas que traen leads medidos y presencia construida en las respuestas de la IA.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8 semanas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24"/>
                <w:szCs w:val="24"/>
              </w:rPr>
              <w:t xml:space="preserve">S/ 2,100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24"/>
                <w:szCs w:val="24"/>
              </w:rPr>
              <w:t xml:space="preserve"/>
            </w:r>
          </w:p>
        </w:tc>
      </w:tr>
    </w:tbl>
    <w:p>
      <w:pPr>
        <w:spacing w:after="22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4.1  Investigación y arquitectura de búsqueda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Keyword research en los dos frentes del negocio: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demanda de liquidez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(factoring, adelanto de facturas, descuento de letras, capital de trabajo) y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demanda de inversión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(dónde invertir en Perú, rentabilidad, inversión en facturas). Análisis de los cinco competidores que hoy rankean: qué contenido tienen y qué les falta. Cada keyword queda asignada a una URL concreta —existente o nueva— para que ninguna página compita contra otra del mismo sitio.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4.2  Contenido con doble propósito: SEO + AEO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Optimización de las landings de Factoring y Capital con el mapa de keywords, más un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hub de recursos con 6 artículos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priorizados por volumen e intención comercial: "¿Qué es el factoring y cuánto cuesta en Perú?", "Factoring vs. préstamo bancario", "Cómo invertir en facturas: rentabilidad y riesgo real", entre otros.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Todo se escribe en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formato de respuesta directa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: cada pregunta resuelta en 40 a 60 palabras antes de desarrollarla, con tablas comparativas y cifras concretas. Es exactamente el formato que Google y los modelos de lenguaje extraen para citar. Se suma un bloque de preguntas frecuentes por servicio, marcado con FAQPage.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4.3  GEO: construir presencia en motores generativos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Los modelos no citan webs: citan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consensos entre fuentes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El trabajo es construir ese consenso — datos de negocio homogéneos (nombre, dirección, teléfono) en directorios peruanos, perfiles de LinkedIn y Google Business optimizados como fuentes citables, y contenido con datos propios (tasas, plazos, casos), que es lo que los modelos prefieren frente al material publicitario.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Y se mide, no se asume: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una batería de 15 prompts de control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—"mejores empresas de factoring en Perú", "dónde invertir en facturas"…— consultada cada mes en ChatGPT, Perplexity y Gemini, con registro de si Advance aparece y en qué lugar.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4.4  SEM: Google Ads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Cuenta estructurada por intención: campaña de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marca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(defensiva, CPC bajo), campaña de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factoring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y campaña de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inversión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Redacción de anuncios y extensiones, lista de palabras negativas para no quemar presupuesto en tráfico irrelevante, y conversiones importadas desde GA4 —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se optimiza por lead real, no por clics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Se suma una campaña de remarketing hacia quien abandonó el cotizador o el simulador.</w:t>
      </w: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4.5  Medición y reporte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Dashboard en Looker Studio con tráfico, posiciones, leads por canal, costo por lead y citaciones en IA, en una sola vista y con acceso permanente. Más dos reportes mensuales con lectura de resultados y decisiones concretas para el mes siguiente.</w:t>
      </w:r>
    </w:p>
    <w:p>
      <w:pPr>
        <w:pStyle w:val="Heading2"/>
        <w:spacing w:after="120" w:before="380"/>
      </w:pPr>
      <w:r>
        <w:rPr>
          <w:rFonts w:ascii="Arial" w:cs="Arial" w:eastAsia="Arial" w:hAnsi="Arial"/>
          <w:b/>
          <w:bCs/>
          <w:color w:val="001D3A"/>
          <w:sz w:val="26"/>
          <w:szCs w:val="26"/>
        </w:rPr>
        <w:t xml:space="preserve">Entregables de la Fase 2</w:t>
      </w:r>
    </w:p>
    <w:p>
      <w:pPr>
        <w:spacing w:after="8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82"/>
        <w:gridCol w:w="2891"/>
        <w:gridCol w:w="2891"/>
        <w:gridCol w:w="3374"/>
      </w:tblGrid>
      <w:tr>
        <w:trPr>
          <w:tblHeader/>
        </w:trPr>
        <w:tc>
          <w:tcPr>
            <w:tcW w:type="dxa" w:w="482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Entregable</w:t>
            </w:r>
          </w:p>
        </w:tc>
        <w:tc>
          <w:tcPr>
            <w:tcW w:type="dxa" w:w="289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Formato / cantidad</w:t>
            </w:r>
          </w:p>
        </w:tc>
        <w:tc>
          <w:tcPr>
            <w:tcW w:type="dxa" w:w="3374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Criterio de aceptación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Documento de estrategia de búsqueda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PDF de 15 a 20 páginas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Mínimo 60 keywords con volumen, dificultad e intención; análisis de 5 competidores; mapa keyword a URL sin canibalización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Calendario editorial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Hoja de cálculo, 3 meses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Cada pieza con keyword objetivo, formato, fecha y responsable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 artículos publicados y optimizados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De 1,200 a 1,800 palabras cada uno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Cada artículo con bloque de respuesta directa, tabla comparativa, FAQ marcada, imagen destacada, enlazado interno y JSON-LD válido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Sección de recursos construida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Nueva sección en el sitio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Indexada, con listado y enlazada desde el menú principal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Landings de Factoring y Capital optimizadas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 páginas reescritas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Keywords objetivo aplicadas y mínimo 8 preguntas frecuentes por servicio, marcadas con FAQPage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Cuenta de Google Ads construida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 campañas + 1 de remarketing, mínimo 6 grupos de anuncios y 15 anuncios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Conversiones importadas desde GA4 y registrando; lista de negativas con más de 100 términos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7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Presencia GEO construida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Datos homogéneos en más de 10 directorios y perfiles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Nombre, dirección y teléfono idénticos en todas las fuentes, verificados uno por uno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Informe de citaciones en IA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15 prompts × 3 motores × 2 mediciones = 90 consultas registradas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Planilla con captura de cada respuesta, indicando si Advance aparece y en qué posición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9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Dashboard en Looker Studio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Tablero de 5 bloques, con acceso permanente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Tráfico, posiciones, leads por canal, costo por lead y citaciones en IA, actualizándose solo</w:t>
            </w:r>
          </w:p>
        </w:tc>
      </w:tr>
      <w:tr>
        <w:trPr>
          <w:tblHeader w:val="false"/>
        </w:trPr>
        <w:tc>
          <w:tcPr>
            <w:tcW w:type="dxa" w:w="482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10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2 reportes mensuales</w:t>
            </w:r>
          </w:p>
        </w:tc>
        <w:tc>
          <w:tcPr>
            <w:tcW w:type="dxa" w:w="2891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PDF + reunión de 45 minutos cada uno</w:t>
            </w:r>
          </w:p>
        </w:tc>
        <w:tc>
          <w:tcPr>
            <w:tcW w:type="dxa" w:w="3374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Cada reporte cierra con 3 decisiones concretas para el mes siguiente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11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Manual de operación</w:t>
            </w:r>
          </w:p>
        </w:tc>
        <w:tc>
          <w:tcPr>
            <w:tcW w:type="dxa" w:w="289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PDF de 6 a 8 páginas</w:t>
            </w:r>
          </w:p>
        </w:tc>
        <w:tc>
          <w:tcPr>
            <w:tcW w:type="dxa" w:w="337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 él, el equipo de Advance puede publicar un artículo optimizado sin ayuda externa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single" w:color="D9A86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1D3A"/>
                <w:sz w:val="19"/>
                <w:szCs w:val="19"/>
              </w:rPr>
              <w:t xml:space="preserve">La inversión publicitaria en Google no está incluida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1D3A"/>
                <w:sz w:val="19"/>
                <w:szCs w:val="19"/>
              </w:rPr>
              <w:t xml:space="preserve"> en esta cotización: se paga directamente a Google con la tarjeta de Advance. Presupuesto sugerido para empezar: S/ 800 a 1,500 mensuales.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05 · RESULTADOS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Qué se espera ver, y cuándo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Metas verificables, no promesas. El SEM da resultados inmediatos; el SEO madura. Ambos plazos están dichos como son.</w:t>
      </w:r>
    </w:p>
    <w:p>
      <w:pPr>
        <w:spacing w:after="12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Plazo</w:t>
            </w:r>
          </w:p>
        </w:tc>
        <w:tc>
          <w:tcPr>
            <w:tcW w:type="dxa" w:w="7710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Semana 3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fin de Fase 1</w:t>
            </w:r>
          </w:p>
        </w:tc>
        <w:tc>
          <w:tcPr>
            <w:tcW w:type="dxa" w:w="77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100% de las páginas públicas indexables y rastreables. Lighthouse ≥ 90 en móvil. Todos los leads medidos desde el primer día. Enlaces compartidos con vista previa correcta.</w:t>
            </w:r>
          </w:p>
        </w:tc>
      </w:tr>
      <w:tr>
        <w:trPr>
          <w:tblHeader w:val="false"/>
        </w:trPr>
        <w:tc>
          <w:tcPr>
            <w:tcW w:type="dxa" w:w="192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Semana 4 a 6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771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Primeros leads pagados con costo por lead medido. Marca protegida en la subasta. Presencia en búsquedas locales vía Google Business Profile.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Mes 2 a 3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77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Contenido indexado y posicionando en cola larga. Apariciones en fragmentos destacados y AI Overviews para preguntas específicas del sector. Primeras menciones en ChatGPT y Perplexity.</w:t>
            </w:r>
          </w:p>
        </w:tc>
      </w:tr>
      <w:tr>
        <w:trPr>
          <w:tblHeader w:val="false"/>
        </w:trPr>
        <w:tc>
          <w:tcPr>
            <w:tcW w:type="dxa" w:w="1928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Mes 4 a 6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>con continuidad</w:t>
            </w:r>
          </w:p>
        </w:tc>
        <w:tc>
          <w:tcPr>
            <w:tcW w:type="dxa" w:w="771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Crecimiento sostenido del tráfico orgánico y reducción progresiva del costo por lead, al sustituir tráfico pagado por orgánico.</w:t>
            </w:r>
          </w:p>
        </w:tc>
      </w:tr>
    </w:tbl>
    <w:p>
      <w:pPr>
        <w:spacing w:after="200"/>
      </w:pP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El beneficio de fondo va más allá de las cifras: Advance deja de depender solo de referidos y prospección en frío, y pasa a tener un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activo propio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 —dominio con autoridad, contenido citable y una cuenta de Ads calibrada— que sigue generando demanda mes a mes.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06 · INVERSIÓN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Cotización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1157"/>
        <w:gridCol w:w="4819"/>
        <w:gridCol w:w="1638"/>
        <w:gridCol w:w="2024"/>
      </w:tblGrid>
      <w:tr>
        <w:trPr>
          <w:tblHeader/>
        </w:trPr>
        <w:tc>
          <w:tcPr>
            <w:tcW w:type="dxa" w:w="1157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Fase</w:t>
            </w:r>
          </w:p>
        </w:tc>
        <w:tc>
          <w:tcPr>
            <w:tcW w:type="dxa" w:w="4819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Alcance</w:t>
            </w:r>
          </w:p>
        </w:tc>
        <w:tc>
          <w:tcPr>
            <w:tcW w:type="dxa" w:w="1638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Plazo</w:t>
            </w:r>
          </w:p>
        </w:tc>
        <w:tc>
          <w:tcPr>
            <w:tcW w:type="dxa" w:w="2024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Inversión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Fase 1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Prerender/SSR, SEO técnico on-page, datos estructurados, llms.txt, analítica y medición de conversiones, Core Web Vitals</w:t>
            </w:r>
          </w:p>
        </w:tc>
        <w:tc>
          <w:tcPr>
            <w:tcW w:type="dxa" w:w="163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3 semanas</w:t>
            </w:r>
          </w:p>
        </w:tc>
        <w:tc>
          <w:tcPr>
            <w:tcW w:type="dxa" w:w="202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S/ 2,400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1D3A"/>
                <w:sz w:val="19"/>
                <w:szCs w:val="19"/>
              </w:rPr>
              <w:t xml:space="preserve">Fase 2</w:t>
            </w:r>
            <w:r>
              <w:rPr>
                <w:rFonts w:ascii="Calibri" w:cs="Calibri" w:eastAsia="Calibri" w:hAnsi="Calibri"/>
                <w:b w:val="false"/>
                <w:bCs w:val="false"/>
                <w:color w:val="001D3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Keyword research, contenido SEO + AEO (6 artículos), construcción y monitoreo GEO, Google Ads, dashboard y 2 reportes</w:t>
            </w:r>
          </w:p>
        </w:tc>
        <w:tc>
          <w:tcPr>
            <w:tcW w:type="dxa" w:w="1638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8 semanas</w:t>
            </w:r>
          </w:p>
        </w:tc>
        <w:tc>
          <w:tcPr>
            <w:tcW w:type="dxa" w:w="2024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001D3A"/>
                <w:sz w:val="19"/>
                <w:szCs w:val="19"/>
              </w:rPr>
              <w:t xml:space="preserve">S/ 2,100</w:t>
            </w:r>
          </w:p>
        </w:tc>
      </w:tr>
      <w:tr>
        <w:trPr>
          <w:tblHeader w:val="false"/>
        </w:trPr>
        <w:tc>
          <w:tcPr>
            <w:tcW w:type="dxa" w:w="7614"/>
            <w:gridSpan w:val="3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2024"/>
            <w:shd w:fill="001D3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S/ 4,500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3181"/>
        <w:gridCol w:w="3181"/>
        <w:gridCol w:w="3276"/>
      </w:tblGrid>
      <w:tr>
        <w:trPr>
          <w:tblHeader/>
        </w:trPr>
        <w:tc>
          <w:tcPr>
            <w:tcW w:type="dxa" w:w="318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Forma de pago</w:t>
            </w:r>
          </w:p>
        </w:tc>
        <w:tc>
          <w:tcPr>
            <w:tcW w:type="dxa" w:w="3181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Incluye</w:t>
            </w:r>
          </w:p>
        </w:tc>
        <w:tc>
          <w:tcPr>
            <w:tcW w:type="dxa" w:w="3276"/>
            <w:shd w:fill="EAF0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001D3A"/>
                <w:spacing w:val="20"/>
                <w:sz w:val="16"/>
                <w:szCs w:val="16"/>
              </w:rPr>
              <w:t xml:space="preserve">No incluye</w:t>
            </w:r>
          </w:p>
        </w:tc>
      </w:tr>
      <w:tr>
        <w:trPr>
          <w:tblHeader w:val="false"/>
        </w:trPr>
        <w:tc>
          <w:tcPr>
            <w:tcW w:type="dxa" w:w="318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50% al inicio de cada fase y 50% contra entrega de los entregables verificados.</w:t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Factura electrónica emitida al inicio de cada fase.</w:t>
            </w:r>
          </w:p>
        </w:tc>
        <w:tc>
          <w:tcPr>
            <w:tcW w:type="dxa" w:w="3181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Todo el trabajo técnico, de contenido y de configuración descrito.</w:t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Herramientas: GA4, Tag Manager, Search Console, Bing Webmaster, Looker Studio y Google Business Profile — </w:t>
            </w:r>
            <w:r>
              <w:rPr>
                <w:rFonts w:ascii="Calibri" w:cs="Calibri" w:eastAsia="Calibri" w:hAnsi="Calibri"/>
                <w:b/>
                <w:bCs/>
                <w:color w:val="4D5966"/>
                <w:sz w:val="19"/>
                <w:szCs w:val="19"/>
              </w:rPr>
              <w:t xml:space="preserve">todas sin costo de licencia</w:t>
            </w: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.</w:t>
            </w:r>
          </w:p>
        </w:tc>
        <w:tc>
          <w:tcPr>
            <w:tcW w:type="dxa" w:w="327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2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Inversión publicitaria en Google Ads (S/ 800 a 1,500 mensuales sugeridos, pagados directo a Google).</w:t>
            </w:r>
          </w:p>
          <w:p>
            <w:pPr>
              <w:spacing w:after="20" w:before="60" w:line="2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5966"/>
                <w:sz w:val="19"/>
                <w:szCs w:val="19"/>
              </w:rPr>
              <w:t xml:space="preserve">Producción de video o fotografía, y artículos adicionales a los 6 acordados.</w:t>
            </w:r>
          </w:p>
        </w:tc>
      </w:tr>
    </w:tbl>
    <w:p>
      <w:pPr>
        <w:spacing w:after="200"/>
      </w:pPr>
    </w:p>
    <w:p>
      <w:pPr>
        <w:pStyle w:val="Heading3"/>
        <w:spacing w:after="90" w:before="280"/>
      </w:pPr>
      <w:r>
        <w:rPr>
          <w:rFonts w:ascii="Arial" w:cs="Arial" w:eastAsia="Arial" w:hAnsi="Arial"/>
          <w:b/>
          <w:bCs/>
          <w:color w:val="001D3A"/>
          <w:sz w:val="21"/>
          <w:szCs w:val="21"/>
        </w:rPr>
        <w:t xml:space="preserve">Continuidad opcional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A partir del mes 4: mantenimiento de contenido, gestión de campañas y monitoreo GEO. Se cotiza aparte, y solo si los resultados de la Fase 2 lo justifican.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70016"/>
          <w:spacing w:val="40"/>
          <w:sz w:val="16"/>
          <w:szCs w:val="16"/>
        </w:rPr>
        <w:t xml:space="preserve">07 · CIERRE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b/>
          <w:bCs/>
          <w:color w:val="001D3A"/>
          <w:sz w:val="34"/>
          <w:szCs w:val="34"/>
        </w:rPr>
        <w:t xml:space="preserve">Por qué conviene empezar ahora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El GEO está hoy donde estaba el SEO en 2005: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el costo de entrar es bajo y la ventaja del primero dura años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Ninguna financiera peruana mediana está optimizando todavía para motores generativos. Cuando lo hagan todas, aparecer costará varias veces más.</w:t>
      </w: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Y hay un argumento más simple: </w:t>
      </w:r>
      <w:r>
        <w:rPr>
          <w:rFonts w:ascii="Calibri" w:cs="Calibri" w:eastAsia="Calibri" w:hAnsi="Calibri"/>
          <w:b/>
          <w:bCs/>
          <w:i w:val="false"/>
          <w:iCs w:val="false"/>
          <w:color w:val="4D5966"/>
          <w:sz w:val="21"/>
          <w:szCs w:val="21"/>
        </w:rPr>
        <w:t xml:space="preserve">hoy Advance no mide un solo lead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966"/>
          <w:sz w:val="21"/>
          <w:szCs w:val="21"/>
        </w:rPr>
        <w:t xml:space="preserve">. Cada semana sin medición es una semana de decisiones tomadas a ciegas.</w:t>
      </w:r>
    </w:p>
    <w:p>
      <w:pPr>
        <w:spacing w:after="300"/>
      </w:pPr>
    </w:p>
    <w:p>
      <w:pPr>
        <w:pBdr>
          <w:bottom w:val="single" w:color="B70016" w:sz="12" w:space="4"/>
        </w:pBdr>
        <w:spacing w:after="160" w:before="0"/>
      </w:pPr>
    </w:p>
    <w:p>
      <w:pPr>
        <w:spacing w:after="140" w:before="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592"/>
          <w:sz w:val="18"/>
          <w:szCs w:val="18"/>
        </w:rPr>
        <w:t xml:space="preserve">Advance Group  ·  Advance Factoring  ·  Advance Capital  ·  Setiembre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8"/>
      </w:pBdr>
      <w:jc w:val="center"/>
    </w:pPr>
    <w:r>
      <w:rPr>
        <w:rFonts w:ascii="Arial" w:cs="Arial" w:eastAsia="Arial" w:hAnsi="Arial"/>
        <w:color w:val="7A8592"/>
        <w:spacing w:val="20"/>
        <w:sz w:val="14"/>
        <w:szCs w:val="14"/>
      </w:rPr>
      <w:t xml:space="preserve">Propuesta SEM · SEO · AEO · GEO   |   Advance Group   |   Setiembre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B700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D596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2026-09-09T18:40:50.790Z</dcterms:created>
  <dcterms:modified xsi:type="dcterms:W3CDTF">2026-09-09T18:40:50.790Z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