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B70016"/>
          <w:spacing w:val="50"/>
          <w:sz w:val="17"/>
          <w:szCs w:val="17"/>
        </w:rPr>
        <w:t xml:space="preserve">PROPUESTA COMERCIAL</w:t>
      </w:r>
    </w:p>
    <w:p>
      <w:pPr>
        <w:pBdr>
          <w:bottom w:val="single" w:color="B70016" w:sz="12" w:space="4"/>
        </w:pBdr>
        <w:spacing w:after="160" w:before="0"/>
      </w:pPr>
    </w:p>
    <w:p>
      <w:pPr>
        <w:spacing w:after="100" w:before="200"/>
      </w:pPr>
      <w:r>
        <w:rPr>
          <w:rFonts w:ascii="Arial" w:cs="Arial" w:eastAsia="Arial" w:hAnsi="Arial"/>
          <w:b/>
          <w:bCs/>
          <w:color w:val="001D3A"/>
          <w:sz w:val="44"/>
          <w:szCs w:val="44"/>
        </w:rPr>
        <w:t xml:space="preserve">Posicionamiento digital: SEM, SEO, AEO y GEO</w:t>
      </w:r>
    </w:p>
    <w:p>
      <w:pPr>
        <w:spacing w:after="300" w:line="300"/>
      </w:pPr>
      <w:r>
        <w:rPr>
          <w:rFonts w:ascii="Calibri" w:cs="Calibri" w:eastAsia="Calibri" w:hAnsi="Calibri"/>
          <w:color w:val="4D5966"/>
          <w:sz w:val="24"/>
          <w:szCs w:val="24"/>
        </w:rPr>
        <w:t xml:space="preserve">Implementación técnica y estrategia de posicionamiento para advance-group.pe</w:t>
      </w:r>
    </w:p>
    <w:tbl>
      <w:tblPr>
        <w:tblW w:type="dxa" w:w="9638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2506"/>
        <w:gridCol w:w="7132"/>
      </w:tblGrid>
      <w:tr>
        <w:trPr>
          <w:tblHeader w:val="false"/>
        </w:trPr>
        <w:tc>
          <w:tcPr>
            <w:tcW w:type="dxa" w:w="2506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z w:val="19"/>
                <w:szCs w:val="19"/>
              </w:rPr>
              <w:t xml:space="preserve">Cliente</w:t>
            </w:r>
          </w:p>
        </w:tc>
        <w:tc>
          <w:tcPr>
            <w:tcW w:type="dxa" w:w="713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Advance Group  ·  Advance Factoring  ·  Advance Capital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z w:val="19"/>
                <w:szCs w:val="19"/>
              </w:rPr>
              <w:t xml:space="preserve">Sitio</w:t>
            </w:r>
          </w:p>
        </w:tc>
        <w:tc>
          <w:tcPr>
            <w:tcW w:type="dxa" w:w="713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advance-group.pe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z w:val="19"/>
                <w:szCs w:val="19"/>
              </w:rPr>
              <w:t xml:space="preserve">Fecha</w:t>
            </w:r>
          </w:p>
        </w:tc>
        <w:tc>
          <w:tcPr>
            <w:tcW w:type="dxa" w:w="713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Setiembre 2026  ·  Propuesta válida por 30 días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z w:val="19"/>
                <w:szCs w:val="19"/>
              </w:rPr>
              <w:t xml:space="preserve">Alcance</w:t>
            </w:r>
          </w:p>
        </w:tc>
        <w:tc>
          <w:tcPr>
            <w:tcW w:type="dxa" w:w="713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2 fases  ·  11 semanas  ·  4 frentes (SEO, SEM, AEO, GEO)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z w:val="19"/>
                <w:szCs w:val="19"/>
              </w:rPr>
              <w:t xml:space="preserve">Inversión total</w:t>
            </w:r>
          </w:p>
        </w:tc>
        <w:tc>
          <w:tcPr>
            <w:tcW w:type="dxa" w:w="713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1D3A"/>
                <w:sz w:val="19"/>
                <w:szCs w:val="19"/>
              </w:rPr>
              <w:t xml:space="preserve">S/ 6,500</w:t>
            </w: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>  (no incluye inversión publicitaria en Google Ads)</w:t>
            </w:r>
          </w:p>
        </w:tc>
      </w:tr>
    </w:tbl>
    <w:p>
      <w:pPr>
        <w:spacing w:after="3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B70016"/>
          <w:spacing w:val="40"/>
          <w:sz w:val="16"/>
          <w:szCs w:val="16"/>
        </w:rPr>
        <w:t xml:space="preserve">RESUMEN EJECUTIVO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La plataforma de Advance Group está bien construida como producto, pero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hoy es prácticamente invisible para los buscadores y completamente invisible para los motores de IA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. La web se pinta 100% con JavaScript, no tiene metadatos por página, no tiene sitemap, no tiene datos estructurados y —lo más costoso—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no mide un solo lead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: el cotizador de factoring, el simulador de inversión y el formulario de contacto generan oportunidades que nadie está registrando.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Esta propuesta resuelve eso en dos fases. La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Fase 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hace el sitio legible, rastreable y medible: es la base técnica sin la cual cualquier inversión en estrategia se desperdicia. La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Fase 2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convierte esa base en tráfico calificado, leads medidos y presencia en las respuestas de ChatGPT, Perplexity y Google AI Overviews.</w:t>
      </w:r>
    </w:p>
    <w:tbl>
      <w:tblPr>
        <w:tblW w:type="dxa" w:w="9638"/>
        <w:tblBorders>
          <w:top w:val="none" w:color="FFFFFF" w:sz="0"/>
          <w:left w:val="single" w:color="D9A866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40" w:before="40" w:line="2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1D3A"/>
                <w:sz w:val="19"/>
                <w:szCs w:val="19"/>
              </w:rPr>
              <w:t xml:space="preserve">El orden importa: invertir en estrategia antes de resolver lo técnico es pagar por tráfico que llega a una página que el buscador no puede leer.</w:t>
            </w:r>
          </w:p>
        </w:tc>
      </w:tr>
    </w:tbl>
    <w:p>
      <w:r>
        <w:br w:type="page"/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B70016"/>
          <w:spacing w:val="40"/>
          <w:sz w:val="16"/>
          <w:szCs w:val="16"/>
        </w:rPr>
        <w:t xml:space="preserve">01 · DIAGNÓSTICO</w:t>
      </w:r>
    </w:p>
    <w:p>
      <w:pPr>
        <w:pStyle w:val="Heading1"/>
        <w:spacing w:after="140" w:before="0"/>
      </w:pPr>
      <w:r>
        <w:rPr>
          <w:rFonts w:ascii="Arial" w:cs="Arial" w:eastAsia="Arial" w:hAnsi="Arial"/>
          <w:b/>
          <w:bCs/>
          <w:color w:val="001D3A"/>
          <w:sz w:val="34"/>
          <w:szCs w:val="34"/>
        </w:rPr>
        <w:t xml:space="preserve">Qué encontramos en la plataforma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Se auditó el código del sitio (Angular 21 + NestJS 11). Estos son los ocho hallazgos que hoy bloquean el posicionamiento, ordenados por impacto.</w:t>
      </w:r>
    </w:p>
    <w:p>
      <w:pPr>
        <w:spacing w:after="120"/>
      </w:pPr>
    </w:p>
    <w:tbl>
      <w:tblPr>
        <w:tblW w:type="dxa" w:w="9638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386"/>
        <w:gridCol w:w="4241"/>
        <w:gridCol w:w="5011"/>
      </w:tblGrid>
      <w:tr>
        <w:trPr>
          <w:tblHeader/>
        </w:trPr>
        <w:tc>
          <w:tcPr>
            <w:tcW w:type="dxa" w:w="386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#</w:t>
            </w:r>
          </w:p>
        </w:tc>
        <w:tc>
          <w:tcPr>
            <w:tcW w:type="dxa" w:w="4241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Hallazgo</w:t>
            </w:r>
          </w:p>
        </w:tc>
        <w:tc>
          <w:tcPr>
            <w:tcW w:type="dxa" w:w="5011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Por qué cuesta dinero</w:t>
            </w:r>
          </w:p>
        </w:tc>
      </w:tr>
      <w:tr>
        <w:trPr>
          <w:tblHeader w:val="false"/>
        </w:trPr>
        <w:tc>
          <w:tcPr>
            <w:tcW w:type="dxa" w:w="386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1</w:t>
            </w:r>
          </w:p>
        </w:tc>
        <w:tc>
          <w:tcPr>
            <w:tcW w:type="dxa" w:w="424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La web se pinta 100% con JavaScript (SPA sin renderizado en servidor). El HTML que recibe un rastreador es, en la práctica, un contenedor vacío.</w:t>
            </w:r>
          </w:p>
        </w:tc>
        <w:tc>
          <w:tcPr>
            <w:tcW w:type="dxa" w:w="501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Google renderiza JS con retraso y de forma parcial. </w:t>
            </w:r>
            <w:r>
              <w:rPr>
                <w:rFonts w:ascii="Calibri" w:cs="Calibri" w:eastAsia="Calibri" w:hAnsi="Calibri"/>
                <w:b/>
                <w:bCs/>
                <w:color w:val="4D5966"/>
                <w:sz w:val="19"/>
                <w:szCs w:val="19"/>
              </w:rPr>
              <w:t xml:space="preserve">Los bots de IA (GPTBot, PerplexityBot, ClaudeBot) no ejecutan JavaScript en absoluto:</w:t>
            </w: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 para ellos el sitio está en blanco.</w:t>
            </w:r>
          </w:p>
        </w:tc>
      </w:tr>
      <w:tr>
        <w:trPr>
          <w:tblHeader w:val="false"/>
        </w:trPr>
        <w:tc>
          <w:tcPr>
            <w:tcW w:type="dxa" w:w="386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2</w:t>
            </w:r>
          </w:p>
        </w:tc>
        <w:tc>
          <w:tcPr>
            <w:tcW w:type="dxa" w:w="424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Un solo título y una sola meta description en index.html para todo el sitio.</w:t>
            </w:r>
          </w:p>
        </w:tc>
        <w:tc>
          <w:tcPr>
            <w:tcW w:type="dxa" w:w="501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Inicio, Factoring, Capital y Contacto compiten con el mismo texto en resultados. Cero control sobre el clic.</w:t>
            </w:r>
          </w:p>
        </w:tc>
      </w:tr>
      <w:tr>
        <w:trPr>
          <w:tblHeader w:val="false"/>
        </w:trPr>
        <w:tc>
          <w:tcPr>
            <w:tcW w:type="dxa" w:w="386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3</w:t>
            </w:r>
          </w:p>
        </w:tc>
        <w:tc>
          <w:tcPr>
            <w:tcW w:type="dxa" w:w="424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No existe robots.txt ni sitemap.xml.</w:t>
            </w:r>
          </w:p>
        </w:tc>
        <w:tc>
          <w:tcPr>
            <w:tcW w:type="dxa" w:w="501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Las páginas se descubren por azar, y </w:t>
            </w:r>
            <w:r>
              <w:rPr>
                <w:rFonts w:ascii="Calibri" w:cs="Calibri" w:eastAsia="Calibri" w:hAnsi="Calibri"/>
                <w:b/>
                <w:bCs/>
                <w:color w:val="4D5966"/>
                <w:sz w:val="19"/>
                <w:szCs w:val="19"/>
              </w:rPr>
              <w:t xml:space="preserve">/admin y /portal quedan abiertos al rastreo.</w:t>
            </w: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86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4</w:t>
            </w:r>
          </w:p>
        </w:tc>
        <w:tc>
          <w:tcPr>
            <w:tcW w:type="dxa" w:w="424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Cero datos estructurados: sin Organization, FinancialService, FAQPage ni BreadcrumbList.</w:t>
            </w:r>
          </w:p>
        </w:tc>
        <w:tc>
          <w:tcPr>
            <w:tcW w:type="dxa" w:w="501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Sin resultados enriquecidos, sin panel de marca en Google, y sin el formato del que los motores de IA extraen respuestas.</w:t>
            </w:r>
          </w:p>
        </w:tc>
      </w:tr>
      <w:tr>
        <w:trPr>
          <w:tblHeader w:val="false"/>
        </w:trPr>
        <w:tc>
          <w:tcPr>
            <w:tcW w:type="dxa" w:w="386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5</w:t>
            </w:r>
          </w:p>
        </w:tc>
        <w:tc>
          <w:tcPr>
            <w:tcW w:type="dxa" w:w="424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Sin Open Graph ni Twitter Cards.</w:t>
            </w:r>
          </w:p>
        </w:tc>
        <w:tc>
          <w:tcPr>
            <w:tcW w:type="dxa" w:w="501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Los enlaces compartidos por WhatsApp o LinkedIn salen sin imagen ni descripción — crítico en un negocio B2B que se mueve por referidos.</w:t>
            </w:r>
          </w:p>
        </w:tc>
      </w:tr>
      <w:tr>
        <w:trPr>
          <w:tblHeader w:val="false"/>
        </w:trPr>
        <w:tc>
          <w:tcPr>
            <w:tcW w:type="dxa" w:w="386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6</w:t>
            </w:r>
          </w:p>
        </w:tc>
        <w:tc>
          <w:tcPr>
            <w:tcW w:type="dxa" w:w="424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Sin analítica ni medición: no hay GA4, Tag Manager ni Search Console.</w:t>
            </w:r>
          </w:p>
        </w:tc>
        <w:tc>
          <w:tcPr>
            <w:tcW w:type="dxa" w:w="501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El cotizador, el simulador y el formulario de contacto generan leads que </w:t>
            </w:r>
            <w:r>
              <w:rPr>
                <w:rFonts w:ascii="Calibri" w:cs="Calibri" w:eastAsia="Calibri" w:hAnsi="Calibri"/>
                <w:b/>
                <w:bCs/>
                <w:color w:val="4D5966"/>
                <w:sz w:val="19"/>
                <w:szCs w:val="19"/>
              </w:rPr>
              <w:t xml:space="preserve">hoy nadie está midiendo</w:t>
            </w: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. Sin datos no hay costo por lead ni optimización posible.</w:t>
            </w:r>
          </w:p>
        </w:tc>
      </w:tr>
      <w:tr>
        <w:trPr>
          <w:tblHeader w:val="false"/>
        </w:trPr>
        <w:tc>
          <w:tcPr>
            <w:tcW w:type="dxa" w:w="386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7</w:t>
            </w:r>
          </w:p>
        </w:tc>
        <w:tc>
          <w:tcPr>
            <w:tcW w:type="dxa" w:w="424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Soft 404: nginx responde 200 OK con el index ante cualquier URL inexistente.</w:t>
            </w:r>
          </w:p>
        </w:tc>
        <w:tc>
          <w:tcPr>
            <w:tcW w:type="dxa" w:w="501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Google puede indexar URLs basura y diluir la autoridad del dominio.</w:t>
            </w:r>
          </w:p>
        </w:tc>
      </w:tr>
      <w:tr>
        <w:trPr>
          <w:tblHeader w:val="false"/>
        </w:trPr>
        <w:tc>
          <w:tcPr>
            <w:tcW w:type="dxa" w:w="386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8</w:t>
            </w:r>
          </w:p>
        </w:tc>
        <w:tc>
          <w:tcPr>
            <w:tcW w:type="dxa" w:w="424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No hay contenido de fondo: ni blog, ni recursos, ni preguntas frecuentes.</w:t>
            </w:r>
          </w:p>
        </w:tc>
        <w:tc>
          <w:tcPr>
            <w:tcW w:type="dxa" w:w="501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Sin contenido no hay búsquedas de cola larga — y no hay nada que un modelo de IA pueda citar.</w:t>
            </w:r>
          </w:p>
        </w:tc>
      </w:tr>
    </w:tbl>
    <w:p>
      <w:pPr>
        <w:spacing w:after="60" w:before="240"/>
      </w:pPr>
      <w:r>
        <w:rPr>
          <w:rFonts w:ascii="Arial" w:cs="Arial" w:eastAsia="Arial" w:hAnsi="Arial"/>
          <w:b/>
          <w:bCs/>
          <w:color w:val="B70016"/>
          <w:spacing w:val="40"/>
          <w:sz w:val="16"/>
          <w:szCs w:val="16"/>
        </w:rPr>
        <w:t xml:space="preserve">02 · MARCO</w:t>
      </w:r>
    </w:p>
    <w:p>
      <w:pPr>
        <w:pStyle w:val="Heading1"/>
        <w:spacing w:after="140" w:before="0"/>
      </w:pPr>
      <w:r>
        <w:rPr>
          <w:rFonts w:ascii="Arial" w:cs="Arial" w:eastAsia="Arial" w:hAnsi="Arial"/>
          <w:b/>
          <w:bCs/>
          <w:color w:val="001D3A"/>
          <w:sz w:val="34"/>
          <w:szCs w:val="34"/>
        </w:rPr>
        <w:t xml:space="preserve">Los cuatro frentes, y por qué los cuatro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Los cuatro comparten la misma base técnica —HTML servido, contenido estructurado y medición—, por eso una sola implementación (Fase 1) los habilita a todos.</w:t>
      </w:r>
    </w:p>
    <w:p>
      <w:pPr>
        <w:spacing w:after="120"/>
      </w:pPr>
    </w:p>
    <w:tbl>
      <w:tblPr>
        <w:tblW w:type="dxa" w:w="9638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1157"/>
        <w:gridCol w:w="2891"/>
        <w:gridCol w:w="5590"/>
      </w:tblGrid>
      <w:tr>
        <w:trPr>
          <w:tblHeader/>
        </w:trPr>
        <w:tc>
          <w:tcPr>
            <w:tcW w:type="dxa" w:w="1157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Sigla</w:t>
            </w:r>
          </w:p>
        </w:tc>
        <w:tc>
          <w:tcPr>
            <w:tcW w:type="dxa" w:w="2891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Qué es</w:t>
            </w:r>
          </w:p>
        </w:tc>
        <w:tc>
          <w:tcPr>
            <w:tcW w:type="dxa" w:w="559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Qué significa para Advance</w:t>
            </w:r>
          </w:p>
        </w:tc>
      </w:tr>
      <w:tr>
        <w:trPr>
          <w:tblHeader w:val="false"/>
        </w:trPr>
        <w:tc>
          <w:tcPr>
            <w:tcW w:type="dxa" w:w="1157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z w:val="19"/>
                <w:szCs w:val="19"/>
              </w:rPr>
              <w:t xml:space="preserve">SEO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Posicionamiento orgánico en Google.</w:t>
            </w:r>
          </w:p>
        </w:tc>
        <w:tc>
          <w:tcPr>
            <w:tcW w:type="dxa" w:w="5590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Captar a quien busca "factoring Perú", "adelanto de facturas", "dónde invertir mi dinero". Tráfico sostenido, sin costo por clic.</w:t>
            </w:r>
          </w:p>
        </w:tc>
      </w:tr>
      <w:tr>
        <w:trPr>
          <w:tblHeader w:val="false"/>
        </w:trPr>
        <w:tc>
          <w:tcPr>
            <w:tcW w:type="dxa" w:w="1157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z w:val="19"/>
                <w:szCs w:val="19"/>
              </w:rPr>
              <w:t xml:space="preserve">SEM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Publicidad pagada (Google Ads).</w:t>
            </w:r>
          </w:p>
        </w:tc>
        <w:tc>
          <w:tcPr>
            <w:tcW w:type="dxa" w:w="5590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Leads desde la primera semana, mientras el orgánico madura. Y defensa de marca: hoy un competidor puede pujar por "Advance Factoring".</w:t>
            </w:r>
          </w:p>
        </w:tc>
      </w:tr>
      <w:tr>
        <w:trPr>
          <w:tblHeader w:val="false"/>
        </w:trPr>
        <w:tc>
          <w:tcPr>
            <w:tcW w:type="dxa" w:w="1157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z w:val="19"/>
                <w:szCs w:val="19"/>
              </w:rPr>
              <w:t xml:space="preserve">AEO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Optimización para motores de respuesta: AI Overviews, fragmentos destacados, "otras preguntas".</w:t>
            </w:r>
          </w:p>
        </w:tc>
        <w:tc>
          <w:tcPr>
            <w:tcW w:type="dxa" w:w="5590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Seis de cada diez búsquedas ya terminan sin clic. Si Google va a responder por usted, que responda con contenido de Advance.</w:t>
            </w:r>
          </w:p>
        </w:tc>
      </w:tr>
      <w:tr>
        <w:trPr>
          <w:tblHeader w:val="false"/>
        </w:trPr>
        <w:tc>
          <w:tcPr>
            <w:tcW w:type="dxa" w:w="1157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z w:val="19"/>
                <w:szCs w:val="19"/>
              </w:rPr>
              <w:t xml:space="preserve">GEO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Optimización para motores generativos: ChatGPT, Perplexity, Gemini, Claude.</w:t>
            </w:r>
          </w:p>
        </w:tc>
        <w:tc>
          <w:tcPr>
            <w:tcW w:type="dxa" w:w="5590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Cada vez más gerentes financieros preguntan a un asistente qué empresas de factoring hay en Perú. Estar o no en esa respuesta define el pipeline de los próximos años.</w:t>
            </w:r>
          </w:p>
        </w:tc>
      </w:tr>
    </w:tbl>
    <w:p>
      <w:r>
        <w:br w:type="page"/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B70016"/>
          <w:spacing w:val="40"/>
          <w:sz w:val="16"/>
          <w:szCs w:val="16"/>
        </w:rPr>
        <w:t xml:space="preserve">03 · FASE 1 DE 2</w:t>
      </w:r>
    </w:p>
    <w:p>
      <w:pPr>
        <w:pStyle w:val="Heading1"/>
        <w:spacing w:after="140" w:before="0"/>
      </w:pPr>
      <w:r>
        <w:rPr>
          <w:rFonts w:ascii="Arial" w:cs="Arial" w:eastAsia="Arial" w:hAnsi="Arial"/>
          <w:b/>
          <w:bCs/>
          <w:color w:val="001D3A"/>
          <w:sz w:val="34"/>
          <w:szCs w:val="34"/>
        </w:rPr>
        <w:t xml:space="preserve">Implementación: hacer el sitio legible, rastreable y medible</w:t>
      </w:r>
    </w:p>
    <w:tbl>
      <w:tblPr>
        <w:tblW w:type="dxa" w:w="9638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Objetivo de la fase</w:t>
            </w:r>
          </w:p>
        </w:tc>
        <w:tc>
          <w:tcPr>
            <w:tcW w:type="dxa" w:w="241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Plazo</w:t>
            </w:r>
          </w:p>
        </w:tc>
        <w:tc>
          <w:tcPr>
            <w:tcW w:type="dxa" w:w="2409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Inversión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Que Google y los asistentes de IA puedan leer, entender y citar a Advance — y que cada lead quede registrado desde el primer día.</w:t>
            </w:r>
          </w:p>
        </w:tc>
        <w:tc>
          <w:tcPr>
            <w:tcW w:type="dxa" w:w="2410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1D3A"/>
                <w:sz w:val="19"/>
                <w:szCs w:val="19"/>
              </w:rPr>
              <w:t xml:space="preserve">3 semanas</w:t>
            </w: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1D3A"/>
                <w:sz w:val="24"/>
                <w:szCs w:val="24"/>
              </w:rPr>
              <w:t xml:space="preserve">S/ 2,900</w:t>
            </w: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24"/>
                <w:szCs w:val="24"/>
              </w:rPr>
              <w:t xml:space="preserve"/>
            </w:r>
          </w:p>
        </w:tc>
      </w:tr>
    </w:tbl>
    <w:p>
      <w:pPr>
        <w:spacing w:after="220"/>
      </w:pP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3.1  Renderizado en servidor (prerender)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Qué: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incorporamos @angular/ssr en modo prerender para las rutas públicas —inicio, Factoring, Capital, contacto, libro de reclamaciones y 404—: cada una genera su HTML completo en el build.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Cómo: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el resultado estático se sirve con el mismo nginx y el mismo Docker que ya están en Coolify,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sin costo de infraestructura adicional y sin servidor Node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. El portal de inversionistas y el admin siguen del lado del cliente, como corresponde a zonas privadas.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Por qué: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es el cambio que convierte al sitio de invisible a indexable, tanto para Google como para los bots de IA. Todo lo demás depende de esto.</w:t>
      </w: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3.2  SEO técnico on-page</w:t>
      </w:r>
    </w:p>
    <w:p>
      <w:pPr>
        <w:pStyle w:val="ListParagraph"/>
        <w:numPr>
          <w:ilvl w:val="0"/>
          <w:numId w:val="2"/>
        </w:numPr>
        <w:spacing w:after="7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Servicio centralizado de metadatos: título, descripción, canonical, Open Graph y Twitter Cards, únicos por ruta.</w:t>
      </w:r>
    </w:p>
    <w:p>
      <w:pPr>
        <w:pStyle w:val="ListParagraph"/>
        <w:numPr>
          <w:ilvl w:val="0"/>
          <w:numId w:val="2"/>
        </w:numPr>
        <w:spacing w:after="7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robots.txt con permiso explícito a GPTBot, OAI-SearchBot, PerplexityBot y ClaudeBot, y bloqueo de /admin y /portal.</w:t>
      </w:r>
    </w:p>
    <w:p>
      <w:pPr>
        <w:pStyle w:val="ListParagraph"/>
        <w:numPr>
          <w:ilvl w:val="0"/>
          <w:numId w:val="2"/>
        </w:numPr>
        <w:spacing w:after="7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sitemap.xml con las rutas públicas y sus prioridades, enviado a Google y Bing.</w:t>
      </w:r>
    </w:p>
    <w:p>
      <w:pPr>
        <w:pStyle w:val="ListParagraph"/>
        <w:numPr>
          <w:ilvl w:val="0"/>
          <w:numId w:val="2"/>
        </w:numPr>
        <w:spacing w:after="7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Corrección del soft 404: las rutas inexistentes devuelven un 404 real.</w:t>
      </w:r>
    </w:p>
    <w:p>
      <w:pPr>
        <w:pStyle w:val="ListParagraph"/>
        <w:numPr>
          <w:ilvl w:val="0"/>
          <w:numId w:val="2"/>
        </w:numPr>
        <w:spacing w:after="70" w:before="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Jerarquía de encabezados, textos alternativos de imágenes y enlazado interno, revisados página por página.</w:t>
      </w: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3.3  Datos estructurados (el idioma de la IA)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JSON-LD dentro del HTML ya renderizado: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Organization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y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LocalBusiness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para las tres oficinas,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FinancialService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para Advance Factoring y Advance Capital,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FAQPage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en cada landing y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BreadcrumbList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. Es el formato con el que Google arma el panel de marca y con el que los modelos de IA entienden a qué se dedica una empresa.</w:t>
      </w: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3.4  Capa GEO: llms.txt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Un resumen estructurado en texto plano —quiénes son, qué hace cada empresa, tasas, requisitos, contacto— publicado en la raíz del dominio.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Es el estándar emergente que los modelos de lenguaje leen para entender un negocio.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Costo marginal, ventaja real: casi ninguna financiera peruana lo tiene todavía.</w:t>
      </w: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3.5  Medición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GA4 y Tag Manager instalados; Search Console y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Bing Webmaster Tools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verificados —Bing alimenta la búsqueda de ChatGPT, no es opcional—. Eventos de conversión definidos uno por uno: cotización de factoring completada, simulación de inversión completada, formulario de contacto enviado, clic a WhatsApp y clic a teléfono. Google Business Profile creado y optimizado para las tres oficinas.</w:t>
      </w: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3.6  Rendimiento (Core Web Vitals)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Auto-hospedaje de tipografías, precarga del elemento principal, revisión de INP y CLS. Meta verificable: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Lighthouse ≥ 90 en móvil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. La velocidad es factor de ranking y afecta directamente la conversión del cotizador.</w:t>
      </w:r>
    </w:p>
    <w:p>
      <w:pPr>
        <w:pStyle w:val="Heading2"/>
        <w:spacing w:after="120" w:before="380"/>
      </w:pPr>
      <w:r>
        <w:rPr>
          <w:rFonts w:ascii="Arial" w:cs="Arial" w:eastAsia="Arial" w:hAnsi="Arial"/>
          <w:b/>
          <w:bCs/>
          <w:color w:val="001D3A"/>
          <w:sz w:val="26"/>
          <w:szCs w:val="26"/>
        </w:rPr>
        <w:t xml:space="preserve">Entregables de la Fase 1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Cada entregable tiene un formato y un criterio de aceptación explícito. Nada se da por cerrado sin verificación.</w:t>
      </w:r>
    </w:p>
    <w:p>
      <w:pPr>
        <w:spacing w:after="120"/>
      </w:pPr>
    </w:p>
    <w:tbl>
      <w:tblPr>
        <w:tblW w:type="dxa" w:w="9638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482"/>
        <w:gridCol w:w="2891"/>
        <w:gridCol w:w="2891"/>
        <w:gridCol w:w="3374"/>
      </w:tblGrid>
      <w:tr>
        <w:trPr>
          <w:tblHeader/>
        </w:trPr>
        <w:tc>
          <w:tcPr>
            <w:tcW w:type="dxa" w:w="482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#</w:t>
            </w:r>
          </w:p>
        </w:tc>
        <w:tc>
          <w:tcPr>
            <w:tcW w:type="dxa" w:w="2891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Entregable</w:t>
            </w:r>
          </w:p>
        </w:tc>
        <w:tc>
          <w:tcPr>
            <w:tcW w:type="dxa" w:w="2891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Formato</w:t>
            </w:r>
          </w:p>
        </w:tc>
        <w:tc>
          <w:tcPr>
            <w:tcW w:type="dxa" w:w="3374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Criterio de aceptación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1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Prerender de 6 rutas públicas en producción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Rama + Pull Request + despliegue en Coolify</w:t>
            </w:r>
          </w:p>
        </w:tc>
        <w:tc>
          <w:tcPr>
            <w:tcW w:type="dxa" w:w="337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Cada ruta devuelve el HTML completo con el contenido visible, sin necesidad de ejecutar JavaScript</w:t>
            </w:r>
          </w:p>
        </w:tc>
      </w:tr>
      <w:tr>
        <w:trPr>
          <w:tblHeader w:val="false"/>
        </w:trPr>
        <w:tc>
          <w:tcPr>
            <w:tcW w:type="dxa" w:w="482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2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Metadatos únicos por ruta (título, descripción, canonical, Open Graph, Twitter)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Código + hoja de control con los metadatos de las 6 rutas</w:t>
            </w:r>
          </w:p>
        </w:tc>
        <w:tc>
          <w:tcPr>
            <w:tcW w:type="dxa" w:w="3374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Validación en Facebook Sharing Debugger y vista previa correcta al compartir por WhatsApp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3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Datos estructurados JSON-LD (5 tipos)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Código dentro del HTML renderizado</w:t>
            </w:r>
          </w:p>
        </w:tc>
        <w:tc>
          <w:tcPr>
            <w:tcW w:type="dxa" w:w="337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Rich Results Test de Google sin errores en las 6 rutas, con captura de pantalla</w:t>
            </w:r>
          </w:p>
        </w:tc>
      </w:tr>
      <w:tr>
        <w:trPr>
          <w:tblHeader w:val="false"/>
        </w:trPr>
        <w:tc>
          <w:tcPr>
            <w:tcW w:type="dxa" w:w="482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4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robots.txt, sitemap.xml, llms.txt y llms-full.txt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Archivos publicados en la raíz del dominio</w:t>
            </w:r>
          </w:p>
        </w:tc>
        <w:tc>
          <w:tcPr>
            <w:tcW w:type="dxa" w:w="3374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Accesibles públicamente; sitemap aceptado por Search Console y Bing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5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Corrección del soft 404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Configuración de nginx + ruta 404</w:t>
            </w:r>
          </w:p>
        </w:tc>
        <w:tc>
          <w:tcPr>
            <w:tcW w:type="dxa" w:w="337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Una URL inexistente devuelve HTTP 404, no 200</w:t>
            </w:r>
          </w:p>
        </w:tc>
      </w:tr>
      <w:tr>
        <w:trPr>
          <w:tblHeader w:val="false"/>
        </w:trPr>
        <w:tc>
          <w:tcPr>
            <w:tcW w:type="dxa" w:w="482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6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GA4 + Google Tag Manager instalados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Contenedor publicado + documento de configuración</w:t>
            </w:r>
          </w:p>
        </w:tc>
        <w:tc>
          <w:tcPr>
            <w:tcW w:type="dxa" w:w="3374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DebugView registra los 5 eventos de conversión, probados uno por uno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7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Search Console y Bing Webmaster verificados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Propiedades activas con sitemap enviado</w:t>
            </w:r>
          </w:p>
        </w:tc>
        <w:tc>
          <w:tcPr>
            <w:tcW w:type="dxa" w:w="337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Ambas verificadas y con acceso de propietario para Advance</w:t>
            </w:r>
          </w:p>
        </w:tc>
      </w:tr>
      <w:tr>
        <w:trPr>
          <w:tblHeader w:val="false"/>
        </w:trPr>
        <w:tc>
          <w:tcPr>
            <w:tcW w:type="dxa" w:w="482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8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3 fichas de Google Business Profile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Fichas publicadas y verificadas</w:t>
            </w:r>
          </w:p>
        </w:tc>
        <w:tc>
          <w:tcPr>
            <w:tcW w:type="dxa" w:w="3374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Las tres oficinas aparecen en Google Maps con datos, horarios, fotos y categoría correcta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9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Informe técnico antes / después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PDF de 8 a 10 páginas</w:t>
            </w:r>
          </w:p>
        </w:tc>
        <w:tc>
          <w:tcPr>
            <w:tcW w:type="dxa" w:w="337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Lighthouse móvil y escritorio comparados, prueba de rastreo, y checklist de 20 puntos cerrado</w:t>
            </w:r>
          </w:p>
        </w:tc>
      </w:tr>
      <w:tr>
        <w:trPr>
          <w:tblHeader w:val="false"/>
        </w:trPr>
        <w:tc>
          <w:tcPr>
            <w:tcW w:type="dxa" w:w="482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10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Documento de accesos y titularidad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PDF con credenciales y titulares</w:t>
            </w:r>
          </w:p>
        </w:tc>
        <w:tc>
          <w:tcPr>
            <w:tcW w:type="dxa" w:w="3374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4D5966"/>
                <w:sz w:val="19"/>
                <w:szCs w:val="19"/>
              </w:rPr>
              <w:t xml:space="preserve">Todas las cuentas (GA4, GTM, Search Console, Bing, Business Profile, Ads) quedan a nombre de Advance Group</w:t>
            </w: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11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Sesión de traspaso y capacitación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Reunión de 45 minutos, grabada</w:t>
            </w:r>
          </w:p>
        </w:tc>
        <w:tc>
          <w:tcPr>
            <w:tcW w:type="dxa" w:w="337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El equipo de Advance sabe leer sus propios reportes y dónde ver sus leads</w:t>
            </w:r>
          </w:p>
        </w:tc>
      </w:tr>
    </w:tbl>
    <w:p>
      <w:r>
        <w:br w:type="page"/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B70016"/>
          <w:spacing w:val="40"/>
          <w:sz w:val="16"/>
          <w:szCs w:val="16"/>
        </w:rPr>
        <w:t xml:space="preserve">04 · FASE 2 DE 2</w:t>
      </w:r>
    </w:p>
    <w:p>
      <w:pPr>
        <w:pStyle w:val="Heading1"/>
        <w:spacing w:after="140" w:before="0"/>
      </w:pPr>
      <w:r>
        <w:rPr>
          <w:rFonts w:ascii="Arial" w:cs="Arial" w:eastAsia="Arial" w:hAnsi="Arial"/>
          <w:b/>
          <w:bCs/>
          <w:color w:val="001D3A"/>
          <w:sz w:val="34"/>
          <w:szCs w:val="34"/>
        </w:rPr>
        <w:t xml:space="preserve">Estrategia: convertir la base técnica en tráfico y leads</w:t>
      </w:r>
    </w:p>
    <w:tbl>
      <w:tblPr>
        <w:tblW w:type="dxa" w:w="9638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4819"/>
        <w:gridCol w:w="2410"/>
        <w:gridCol w:w="2409"/>
      </w:tblGrid>
      <w:tr>
        <w:trPr>
          <w:tblHeader/>
        </w:trPr>
        <w:tc>
          <w:tcPr>
            <w:tcW w:type="dxa" w:w="4819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Objetivo de la fase</w:t>
            </w:r>
          </w:p>
        </w:tc>
        <w:tc>
          <w:tcPr>
            <w:tcW w:type="dxa" w:w="241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Plazo</w:t>
            </w:r>
          </w:p>
        </w:tc>
        <w:tc>
          <w:tcPr>
            <w:tcW w:type="dxa" w:w="2409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Inversión</w:t>
            </w:r>
          </w:p>
        </w:tc>
      </w:tr>
      <w:tr>
        <w:trPr>
          <w:tblHeader w:val="false"/>
        </w:trPr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Contenido que posiciona, campañas que traen leads medidos y presencia construida en las respuestas de la IA.</w:t>
            </w:r>
          </w:p>
        </w:tc>
        <w:tc>
          <w:tcPr>
            <w:tcW w:type="dxa" w:w="2410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1D3A"/>
                <w:sz w:val="19"/>
                <w:szCs w:val="19"/>
              </w:rPr>
              <w:t xml:space="preserve">8 semanas</w:t>
            </w: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</w:p>
        </w:tc>
        <w:tc>
          <w:tcPr>
            <w:tcW w:type="dxa" w:w="240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1D3A"/>
                <w:sz w:val="24"/>
                <w:szCs w:val="24"/>
              </w:rPr>
              <w:t xml:space="preserve">S/ 3,600</w:t>
            </w: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24"/>
                <w:szCs w:val="24"/>
              </w:rPr>
              <w:t xml:space="preserve"/>
            </w:r>
          </w:p>
        </w:tc>
      </w:tr>
    </w:tbl>
    <w:p>
      <w:pPr>
        <w:spacing w:after="220"/>
      </w:pP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4.1  Investigación y arquitectura de búsqueda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Keyword research en los dos frentes del negocio: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demanda de liquidez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(factoring, adelanto de facturas, descuento de letras, capital de trabajo) y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demanda de inversión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(dónde invertir en Perú, rentabilidad, inversión en facturas). Análisis de los cinco competidores que hoy rankean: qué contenido tienen y qué les falta. Cada keyword queda asignada a una URL concreta —existente o nueva— para que ninguna página compita contra otra del mismo sitio.</w:t>
      </w: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4.2  Contenido con doble propósito: SEO + AEO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Optimización de las landings de Factoring y Capital con el mapa de keywords, más un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hub de recursos con 6 artículos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priorizados por volumen e intención comercial: "¿Qué es el factoring y cuánto cuesta en Perú?", "Factoring vs. préstamo bancario", "Cómo invertir en facturas: rentabilidad y riesgo real", entre otros.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Todo se escribe en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formato de respuesta directa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: cada pregunta resuelta en 40 a 60 palabras antes de desarrollarla, con tablas comparativas y cifras concretas. Es exactamente el formato que Google y los modelos de lenguaje extraen para citar. Se suma un bloque de preguntas frecuentes por servicio, marcado con FAQPage.</w:t>
      </w: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4.3  GEO: construir presencia en motores generativos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Los modelos no citan webs: citan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consensos entre fuentes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. El trabajo es construir ese consenso — datos de negocio homogéneos (nombre, dirección, teléfono) en directorios peruanos, perfiles de LinkedIn y Google Business optimizados como fuentes citables, y contenido con datos propios (tasas, plazos, casos), que es lo que los modelos prefieren frente al material publicitario.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Y se mide, no se asume: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una batería de 15 prompts de control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—"mejores empresas de factoring en Perú", "dónde invertir en facturas"…— consultada cada mes en ChatGPT, Perplexity y Gemini, con registro de si Advance aparece y en qué lugar.</w:t>
      </w: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4.4  SEM: Google Ads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Cuenta estructurada por intención: campaña de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marca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(defensiva, CPC bajo), campaña de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factoring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y campaña de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inversión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. Redacción de anuncios y extensiones, lista de palabras negativas para no quemar presupuesto en tráfico irrelevante, y conversiones importadas desde GA4 —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se optimiza por lead real, no por clics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. Se suma una campaña de remarketing hacia quien abandonó el cotizador o el simulador.</w:t>
      </w: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4.5  Medición y reporte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Dashboard en Looker Studio con tráfico, posiciones, leads por canal, costo por lead y citaciones en IA, en una sola vista y con acceso permanente. Más dos reportes mensuales con lectura de resultados y decisiones concretas para el mes siguiente.</w:t>
      </w:r>
    </w:p>
    <w:p>
      <w:pPr>
        <w:pStyle w:val="Heading2"/>
        <w:spacing w:after="120" w:before="380"/>
      </w:pPr>
      <w:r>
        <w:rPr>
          <w:rFonts w:ascii="Arial" w:cs="Arial" w:eastAsia="Arial" w:hAnsi="Arial"/>
          <w:b/>
          <w:bCs/>
          <w:color w:val="001D3A"/>
          <w:sz w:val="26"/>
          <w:szCs w:val="26"/>
        </w:rPr>
        <w:t xml:space="preserve">Entregables de la Fase 2</w:t>
      </w:r>
    </w:p>
    <w:p>
      <w:pPr>
        <w:spacing w:after="80"/>
      </w:pPr>
    </w:p>
    <w:tbl>
      <w:tblPr>
        <w:tblW w:type="dxa" w:w="9638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482"/>
        <w:gridCol w:w="2891"/>
        <w:gridCol w:w="2891"/>
        <w:gridCol w:w="3374"/>
      </w:tblGrid>
      <w:tr>
        <w:trPr>
          <w:tblHeader/>
        </w:trPr>
        <w:tc>
          <w:tcPr>
            <w:tcW w:type="dxa" w:w="482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#</w:t>
            </w:r>
          </w:p>
        </w:tc>
        <w:tc>
          <w:tcPr>
            <w:tcW w:type="dxa" w:w="2891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Entregable</w:t>
            </w:r>
          </w:p>
        </w:tc>
        <w:tc>
          <w:tcPr>
            <w:tcW w:type="dxa" w:w="2891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Formato / cantidad</w:t>
            </w:r>
          </w:p>
        </w:tc>
        <w:tc>
          <w:tcPr>
            <w:tcW w:type="dxa" w:w="3374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Criterio de aceptación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1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Documento de estrategia de búsqueda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PDF de 15 a 20 páginas</w:t>
            </w:r>
          </w:p>
        </w:tc>
        <w:tc>
          <w:tcPr>
            <w:tcW w:type="dxa" w:w="337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Mínimo 60 keywords con volumen, dificultad e intención; análisis de 5 competidores; mapa keyword a URL sin canibalización</w:t>
            </w:r>
          </w:p>
        </w:tc>
      </w:tr>
      <w:tr>
        <w:trPr>
          <w:tblHeader w:val="false"/>
        </w:trPr>
        <w:tc>
          <w:tcPr>
            <w:tcW w:type="dxa" w:w="482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2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Calendario editorial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Hoja de cálculo, 3 meses</w:t>
            </w:r>
          </w:p>
        </w:tc>
        <w:tc>
          <w:tcPr>
            <w:tcW w:type="dxa" w:w="3374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Cada pieza con keyword objetivo, formato, fecha y responsable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3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6 artículos publicados y optimizados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De 1,200 a 1,800 palabras cada uno</w:t>
            </w:r>
          </w:p>
        </w:tc>
        <w:tc>
          <w:tcPr>
            <w:tcW w:type="dxa" w:w="337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Cada artículo con bloque de respuesta directa, tabla comparativa, FAQ marcada, imagen destacada, enlazado interno y JSON-LD válido</w:t>
            </w:r>
          </w:p>
        </w:tc>
      </w:tr>
      <w:tr>
        <w:trPr>
          <w:tblHeader w:val="false"/>
        </w:trPr>
        <w:tc>
          <w:tcPr>
            <w:tcW w:type="dxa" w:w="482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4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Sección de recursos construida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Nueva sección en el sitio</w:t>
            </w:r>
          </w:p>
        </w:tc>
        <w:tc>
          <w:tcPr>
            <w:tcW w:type="dxa" w:w="3374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Indexada, con listado y enlazada desde el menú principal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5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Landings de Factoring y Capital optimizadas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2 páginas reescritas</w:t>
            </w:r>
          </w:p>
        </w:tc>
        <w:tc>
          <w:tcPr>
            <w:tcW w:type="dxa" w:w="337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Keywords objetivo aplicadas y mínimo 8 preguntas frecuentes por servicio, marcadas con FAQPage</w:t>
            </w:r>
          </w:p>
        </w:tc>
      </w:tr>
      <w:tr>
        <w:trPr>
          <w:tblHeader w:val="false"/>
        </w:trPr>
        <w:tc>
          <w:tcPr>
            <w:tcW w:type="dxa" w:w="482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6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Cuenta de Google Ads construida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3 campañas + 1 de remarketing, mínimo 6 grupos de anuncios y 15 anuncios</w:t>
            </w:r>
          </w:p>
        </w:tc>
        <w:tc>
          <w:tcPr>
            <w:tcW w:type="dxa" w:w="3374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Conversiones importadas desde GA4 y registrando; lista de negativas con más de 100 términos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7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Presencia GEO construida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Datos homogéneos en más de 10 directorios y perfiles</w:t>
            </w:r>
          </w:p>
        </w:tc>
        <w:tc>
          <w:tcPr>
            <w:tcW w:type="dxa" w:w="337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Nombre, dirección y teléfono idénticos en todas las fuentes, verificados uno por uno</w:t>
            </w:r>
          </w:p>
        </w:tc>
      </w:tr>
      <w:tr>
        <w:trPr>
          <w:tblHeader w:val="false"/>
        </w:trPr>
        <w:tc>
          <w:tcPr>
            <w:tcW w:type="dxa" w:w="482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8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Informe de citaciones en IA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15 prompts × 3 motores × 2 mediciones = 90 consultas registradas</w:t>
            </w:r>
          </w:p>
        </w:tc>
        <w:tc>
          <w:tcPr>
            <w:tcW w:type="dxa" w:w="3374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Planilla con captura de cada respuesta, indicando si Advance aparece y en qué posición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9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Dashboard en Looker Studio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Tablero de 5 bloques, con acceso permanente</w:t>
            </w:r>
          </w:p>
        </w:tc>
        <w:tc>
          <w:tcPr>
            <w:tcW w:type="dxa" w:w="337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Tráfico, posiciones, leads por canal, costo por lead y citaciones en IA, actualizándose solo</w:t>
            </w:r>
          </w:p>
        </w:tc>
      </w:tr>
      <w:tr>
        <w:trPr>
          <w:tblHeader w:val="false"/>
        </w:trPr>
        <w:tc>
          <w:tcPr>
            <w:tcW w:type="dxa" w:w="482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10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2 reportes mensuales</w:t>
            </w:r>
          </w:p>
        </w:tc>
        <w:tc>
          <w:tcPr>
            <w:tcW w:type="dxa" w:w="2891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PDF + reunión de 45 minutos cada uno</w:t>
            </w:r>
          </w:p>
        </w:tc>
        <w:tc>
          <w:tcPr>
            <w:tcW w:type="dxa" w:w="3374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Cada reporte cierra con 3 decisiones concretas para el mes siguiente</w:t>
            </w:r>
          </w:p>
        </w:tc>
      </w:tr>
      <w:tr>
        <w:trPr>
          <w:tblHeader w:val="false"/>
        </w:trPr>
        <w:tc>
          <w:tcPr>
            <w:tcW w:type="dxa" w:w="482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11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Manual de operación</w:t>
            </w:r>
          </w:p>
        </w:tc>
        <w:tc>
          <w:tcPr>
            <w:tcW w:type="dxa" w:w="289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PDF de 6 a 8 páginas</w:t>
            </w:r>
          </w:p>
        </w:tc>
        <w:tc>
          <w:tcPr>
            <w:tcW w:type="dxa" w:w="337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Con él, el equipo de Advance puede publicar un artículo optimizado sin ayuda externa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none" w:color="FFFFFF" w:sz="0"/>
          <w:left w:val="single" w:color="D9A866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40" w:before="40" w:line="28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1D3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1D3A"/>
                <w:sz w:val="19"/>
                <w:szCs w:val="19"/>
              </w:rPr>
              <w:t xml:space="preserve">La inversión publicitaria en Google no está incluida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1D3A"/>
                <w:sz w:val="19"/>
                <w:szCs w:val="19"/>
              </w:rPr>
              <w:t xml:space="preserve"> en esta cotización: se paga directamente a Google con la tarjeta de Advance. Presupuesto sugerido para empezar: S/ 800 a 1,500 mensuales.</w:t>
            </w:r>
          </w:p>
        </w:tc>
      </w:tr>
    </w:tbl>
    <w:p>
      <w:r>
        <w:br w:type="page"/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B70016"/>
          <w:spacing w:val="40"/>
          <w:sz w:val="16"/>
          <w:szCs w:val="16"/>
        </w:rPr>
        <w:t xml:space="preserve">05 · RESULTADOS</w:t>
      </w:r>
    </w:p>
    <w:p>
      <w:pPr>
        <w:pStyle w:val="Heading1"/>
        <w:spacing w:after="140" w:before="0"/>
      </w:pPr>
      <w:r>
        <w:rPr>
          <w:rFonts w:ascii="Arial" w:cs="Arial" w:eastAsia="Arial" w:hAnsi="Arial"/>
          <w:b/>
          <w:bCs/>
          <w:color w:val="001D3A"/>
          <w:sz w:val="34"/>
          <w:szCs w:val="34"/>
        </w:rPr>
        <w:t xml:space="preserve">Qué se espera ver, y cuándo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Metas verificables, no promesas. El SEM da resultados inmediatos; el SEO madura. Ambos plazos están dichos como son.</w:t>
      </w:r>
    </w:p>
    <w:p>
      <w:pPr>
        <w:spacing w:after="120"/>
      </w:pPr>
    </w:p>
    <w:tbl>
      <w:tblPr>
        <w:tblW w:type="dxa" w:w="9638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Plazo</w:t>
            </w:r>
          </w:p>
        </w:tc>
        <w:tc>
          <w:tcPr>
            <w:tcW w:type="dxa" w:w="7710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Resultado esperado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1D3A"/>
                <w:sz w:val="19"/>
                <w:szCs w:val="19"/>
              </w:rPr>
              <w:t xml:space="preserve">Semana 3</w:t>
            </w: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</w:p>
          <w:p>
            <w:pPr>
              <w:spacing w:after="20" w:before="6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>fin de Fase 1</w:t>
            </w:r>
          </w:p>
        </w:tc>
        <w:tc>
          <w:tcPr>
            <w:tcW w:type="dxa" w:w="7710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100% de las páginas públicas indexables y rastreables. Lighthouse ≥ 90 en móvil. Todos los leads medidos desde el primer día. Enlaces compartidos con vista previa correcta.</w:t>
            </w:r>
          </w:p>
        </w:tc>
      </w:tr>
      <w:tr>
        <w:trPr>
          <w:tblHeader w:val="false"/>
        </w:trPr>
        <w:tc>
          <w:tcPr>
            <w:tcW w:type="dxa" w:w="1928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1D3A"/>
                <w:sz w:val="19"/>
                <w:szCs w:val="19"/>
              </w:rPr>
              <w:t xml:space="preserve">Semana 4 a 6</w:t>
            </w: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</w:p>
        </w:tc>
        <w:tc>
          <w:tcPr>
            <w:tcW w:type="dxa" w:w="7710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Primeros leads pagados con costo por lead medido. Marca protegida en la subasta. Presencia en búsquedas locales vía Google Business Profile.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1D3A"/>
                <w:sz w:val="19"/>
                <w:szCs w:val="19"/>
              </w:rPr>
              <w:t xml:space="preserve">Mes 2 a 3</w:t>
            </w: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</w:p>
        </w:tc>
        <w:tc>
          <w:tcPr>
            <w:tcW w:type="dxa" w:w="7710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Contenido indexado y posicionando en cola larga. Apariciones en fragmentos destacados y AI Overviews para preguntas específicas del sector. Primeras menciones en ChatGPT y Perplexity.</w:t>
            </w:r>
          </w:p>
        </w:tc>
      </w:tr>
      <w:tr>
        <w:trPr>
          <w:tblHeader w:val="false"/>
        </w:trPr>
        <w:tc>
          <w:tcPr>
            <w:tcW w:type="dxa" w:w="1928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1D3A"/>
                <w:sz w:val="19"/>
                <w:szCs w:val="19"/>
              </w:rPr>
              <w:t xml:space="preserve">Mes 4 a 6</w:t>
            </w: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</w:p>
          <w:p>
            <w:pPr>
              <w:spacing w:after="20" w:before="6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>con continuidad</w:t>
            </w:r>
          </w:p>
        </w:tc>
        <w:tc>
          <w:tcPr>
            <w:tcW w:type="dxa" w:w="7710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Crecimiento sostenido del tráfico orgánico y reducción progresiva del costo por lead, al sustituir tráfico pagado por orgánico.</w:t>
            </w:r>
          </w:p>
        </w:tc>
      </w:tr>
    </w:tbl>
    <w:p>
      <w:pPr>
        <w:spacing w:after="200"/>
      </w:pP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El beneficio de fondo va más allá de las cifras: Advance deja de depender solo de referidos y prospección en frío, y pasa a tener un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activo propio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—dominio con autoridad, contenido citable y una cuenta de Ads calibrada— que sigue generando demanda mes a mes.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B70016"/>
          <w:spacing w:val="40"/>
          <w:sz w:val="16"/>
          <w:szCs w:val="16"/>
        </w:rPr>
        <w:t xml:space="preserve">06 · INVERSIÓN</w:t>
      </w:r>
    </w:p>
    <w:p>
      <w:pPr>
        <w:pStyle w:val="Heading1"/>
        <w:spacing w:after="140" w:before="0"/>
      </w:pPr>
      <w:r>
        <w:rPr>
          <w:rFonts w:ascii="Arial" w:cs="Arial" w:eastAsia="Arial" w:hAnsi="Arial"/>
          <w:b/>
          <w:bCs/>
          <w:color w:val="001D3A"/>
          <w:sz w:val="34"/>
          <w:szCs w:val="34"/>
        </w:rPr>
        <w:t xml:space="preserve">Cotización</w:t>
      </w:r>
    </w:p>
    <w:tbl>
      <w:tblPr>
        <w:tblW w:type="dxa" w:w="9638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1157"/>
        <w:gridCol w:w="4819"/>
        <w:gridCol w:w="1638"/>
        <w:gridCol w:w="2024"/>
      </w:tblGrid>
      <w:tr>
        <w:trPr>
          <w:tblHeader/>
        </w:trPr>
        <w:tc>
          <w:tcPr>
            <w:tcW w:type="dxa" w:w="1157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Fase</w:t>
            </w:r>
          </w:p>
        </w:tc>
        <w:tc>
          <w:tcPr>
            <w:tcW w:type="dxa" w:w="4819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Alcance</w:t>
            </w:r>
          </w:p>
        </w:tc>
        <w:tc>
          <w:tcPr>
            <w:tcW w:type="dxa" w:w="1638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Plazo</w:t>
            </w:r>
          </w:p>
        </w:tc>
        <w:tc>
          <w:tcPr>
            <w:tcW w:type="dxa" w:w="2024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Inversión</w:t>
            </w:r>
          </w:p>
        </w:tc>
      </w:tr>
      <w:tr>
        <w:trPr>
          <w:tblHeader w:val="false"/>
        </w:trPr>
        <w:tc>
          <w:tcPr>
            <w:tcW w:type="dxa" w:w="1157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1D3A"/>
                <w:sz w:val="19"/>
                <w:szCs w:val="19"/>
              </w:rPr>
              <w:t xml:space="preserve">Fase 1</w:t>
            </w: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Prerender/SSR, SEO técnico on-page, datos estructurados, llms.txt, analítica y medición de conversiones, Core Web Vitals</w:t>
            </w:r>
          </w:p>
        </w:tc>
        <w:tc>
          <w:tcPr>
            <w:tcW w:type="dxa" w:w="1638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3 semanas</w:t>
            </w:r>
          </w:p>
        </w:tc>
        <w:tc>
          <w:tcPr>
            <w:tcW w:type="dxa" w:w="202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001D3A"/>
                <w:sz w:val="19"/>
                <w:szCs w:val="19"/>
              </w:rPr>
              <w:t xml:space="preserve">S/ 2,900</w:t>
            </w:r>
          </w:p>
        </w:tc>
      </w:tr>
      <w:tr>
        <w:trPr>
          <w:tblHeader w:val="false"/>
        </w:trPr>
        <w:tc>
          <w:tcPr>
            <w:tcW w:type="dxa" w:w="1157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1D3A"/>
                <w:sz w:val="19"/>
                <w:szCs w:val="19"/>
              </w:rPr>
              <w:t xml:space="preserve">Fase 2</w:t>
            </w:r>
            <w:r>
              <w:rPr>
                <w:rFonts w:ascii="Calibri" w:cs="Calibri" w:eastAsia="Calibri" w:hAnsi="Calibri"/>
                <w:b w:val="false"/>
                <w:bCs w:val="false"/>
                <w:color w:val="001D3A"/>
                <w:sz w:val="19"/>
                <w:szCs w:val="19"/>
              </w:rPr>
              <w:t xml:space="preserve"/>
            </w:r>
          </w:p>
        </w:tc>
        <w:tc>
          <w:tcPr>
            <w:tcW w:type="dxa" w:w="481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Keyword research, contenido SEO + AEO (6 artículos), construcción y monitoreo GEO, Google Ads, dashboard y 2 reportes</w:t>
            </w:r>
          </w:p>
        </w:tc>
        <w:tc>
          <w:tcPr>
            <w:tcW w:type="dxa" w:w="1638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8 semanas</w:t>
            </w:r>
          </w:p>
        </w:tc>
        <w:tc>
          <w:tcPr>
            <w:tcW w:type="dxa" w:w="2024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001D3A"/>
                <w:sz w:val="19"/>
                <w:szCs w:val="19"/>
              </w:rPr>
              <w:t xml:space="preserve">S/ 3,600</w:t>
            </w:r>
          </w:p>
        </w:tc>
      </w:tr>
      <w:tr>
        <w:trPr>
          <w:tblHeader w:val="false"/>
        </w:trPr>
        <w:tc>
          <w:tcPr>
            <w:tcW w:type="dxa" w:w="7614"/>
            <w:gridSpan w:val="3"/>
            <w:shd w:fill="001D3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TOTAL</w:t>
            </w:r>
          </w:p>
        </w:tc>
        <w:tc>
          <w:tcPr>
            <w:tcW w:type="dxa" w:w="2024"/>
            <w:shd w:fill="001D3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S/ 6,500</w:t>
            </w:r>
          </w:p>
        </w:tc>
      </w:tr>
    </w:tbl>
    <w:p>
      <w:pPr>
        <w:spacing w:after="240"/>
      </w:pP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Desglose de la Fase 1</w:t>
      </w:r>
    </w:p>
    <w:tbl>
      <w:tblPr>
        <w:tblW w:type="dxa" w:w="9638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6939"/>
        <w:gridCol w:w="2699"/>
      </w:tblGrid>
      <w:tr>
        <w:trPr>
          <w:tblHeader/>
        </w:trPr>
        <w:tc>
          <w:tcPr>
            <w:tcW w:type="dxa" w:w="6939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Componente</w:t>
            </w:r>
          </w:p>
        </w:tc>
        <w:tc>
          <w:tcPr>
            <w:tcW w:type="dxa" w:w="2699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Inversión</w:t>
            </w:r>
          </w:p>
        </w:tc>
      </w:tr>
      <w:tr>
        <w:trPr>
          <w:tblHeader w:val="false"/>
        </w:trPr>
        <w:tc>
          <w:tcPr>
            <w:tcW w:type="dxa" w:w="693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Renderizado en servidor (prerender de 6 rutas públicas)</w:t>
            </w:r>
          </w:p>
        </w:tc>
        <w:tc>
          <w:tcPr>
            <w:tcW w:type="dxa" w:w="269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S/ 1,000</w:t>
            </w:r>
          </w:p>
        </w:tc>
      </w:tr>
      <w:tr>
        <w:trPr>
          <w:tblHeader w:val="false"/>
        </w:trPr>
        <w:tc>
          <w:tcPr>
            <w:tcW w:type="dxa" w:w="6939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SEO técnico on-page: metadatos, robots.txt, sitemap.xml y corrección del 404</w:t>
            </w:r>
          </w:p>
        </w:tc>
        <w:tc>
          <w:tcPr>
            <w:tcW w:type="dxa" w:w="2699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S/ 600</w:t>
            </w:r>
          </w:p>
        </w:tc>
      </w:tr>
      <w:tr>
        <w:trPr>
          <w:tblHeader w:val="false"/>
        </w:trPr>
        <w:tc>
          <w:tcPr>
            <w:tcW w:type="dxa" w:w="693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Datos estructurados JSON-LD y llms.txt</w:t>
            </w:r>
          </w:p>
        </w:tc>
        <w:tc>
          <w:tcPr>
            <w:tcW w:type="dxa" w:w="269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S/ 500</w:t>
            </w:r>
          </w:p>
        </w:tc>
      </w:tr>
      <w:tr>
        <w:trPr>
          <w:tblHeader w:val="false"/>
        </w:trPr>
        <w:tc>
          <w:tcPr>
            <w:tcW w:type="dxa" w:w="6939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Analítica y medición: GA4, Tag Manager, Search Console, Bing y Business Profile</w:t>
            </w:r>
          </w:p>
        </w:tc>
        <w:tc>
          <w:tcPr>
            <w:tcW w:type="dxa" w:w="2699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S/ 500</w:t>
            </w:r>
          </w:p>
        </w:tc>
      </w:tr>
      <w:tr>
        <w:trPr>
          <w:tblHeader w:val="false"/>
        </w:trPr>
        <w:tc>
          <w:tcPr>
            <w:tcW w:type="dxa" w:w="693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Core Web Vitals, QA, informe antes/después y sesión de traspaso</w:t>
            </w:r>
          </w:p>
        </w:tc>
        <w:tc>
          <w:tcPr>
            <w:tcW w:type="dxa" w:w="269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S/ 300</w:t>
            </w:r>
          </w:p>
        </w:tc>
      </w:tr>
      <w:tr>
        <w:trPr>
          <w:tblHeader w:val="false"/>
        </w:trPr>
        <w:tc>
          <w:tcPr>
            <w:tcW w:type="dxa" w:w="6939"/>
            <w:shd w:fill="001D3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SUBTOTAL FASE 1</w:t>
            </w:r>
          </w:p>
        </w:tc>
        <w:tc>
          <w:tcPr>
            <w:tcW w:type="dxa" w:w="2699"/>
            <w:shd w:fill="001D3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S/ 2,900</w:t>
            </w:r>
          </w:p>
        </w:tc>
      </w:tr>
    </w:tbl>
    <w:p>
      <w:pPr>
        <w:spacing w:after="240"/>
      </w:pP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Desglose de la Fase 2</w:t>
      </w:r>
    </w:p>
    <w:tbl>
      <w:tblPr>
        <w:tblW w:type="dxa" w:w="9638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6939"/>
        <w:gridCol w:w="2699"/>
      </w:tblGrid>
      <w:tr>
        <w:trPr>
          <w:tblHeader/>
        </w:trPr>
        <w:tc>
          <w:tcPr>
            <w:tcW w:type="dxa" w:w="6939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Componente</w:t>
            </w:r>
          </w:p>
        </w:tc>
        <w:tc>
          <w:tcPr>
            <w:tcW w:type="dxa" w:w="2699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Inversión</w:t>
            </w:r>
          </w:p>
        </w:tc>
      </w:tr>
      <w:tr>
        <w:trPr>
          <w:tblHeader w:val="false"/>
        </w:trPr>
        <w:tc>
          <w:tcPr>
            <w:tcW w:type="dxa" w:w="693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Investigación, análisis de competencia y arquitectura de búsqueda</w:t>
            </w:r>
          </w:p>
        </w:tc>
        <w:tc>
          <w:tcPr>
            <w:tcW w:type="dxa" w:w="269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S/ 550</w:t>
            </w:r>
          </w:p>
        </w:tc>
      </w:tr>
      <w:tr>
        <w:trPr>
          <w:tblHeader w:val="false"/>
        </w:trPr>
        <w:tc>
          <w:tcPr>
            <w:tcW w:type="dxa" w:w="6939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Contenido SEO + AEO: 6 artículos, 2 landings optimizadas y preguntas frecuentes</w:t>
            </w:r>
          </w:p>
        </w:tc>
        <w:tc>
          <w:tcPr>
            <w:tcW w:type="dxa" w:w="2699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S/ 1,300</w:t>
            </w:r>
          </w:p>
        </w:tc>
      </w:tr>
      <w:tr>
        <w:trPr>
          <w:tblHeader w:val="false"/>
        </w:trPr>
        <w:tc>
          <w:tcPr>
            <w:tcW w:type="dxa" w:w="693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GEO: construcción de presencia y monitoreo de citaciones en IA</w:t>
            </w:r>
          </w:p>
        </w:tc>
        <w:tc>
          <w:tcPr>
            <w:tcW w:type="dxa" w:w="269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S/ 550</w:t>
            </w:r>
          </w:p>
        </w:tc>
      </w:tr>
      <w:tr>
        <w:trPr>
          <w:tblHeader w:val="false"/>
        </w:trPr>
        <w:tc>
          <w:tcPr>
            <w:tcW w:type="dxa" w:w="6939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SEM: construcción y gestión de Google Ads durante las 8 semanas</w:t>
            </w:r>
          </w:p>
        </w:tc>
        <w:tc>
          <w:tcPr>
            <w:tcW w:type="dxa" w:w="2699"/>
            <w:shd w:fill="F4F7F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S/ 800</w:t>
            </w:r>
          </w:p>
        </w:tc>
      </w:tr>
      <w:tr>
        <w:trPr>
          <w:tblHeader w:val="false"/>
        </w:trPr>
        <w:tc>
          <w:tcPr>
            <w:tcW w:type="dxa" w:w="693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Dashboard, 2 reportes mensuales y manual de operación</w:t>
            </w:r>
          </w:p>
        </w:tc>
        <w:tc>
          <w:tcPr>
            <w:tcW w:type="dxa" w:w="2699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S/ 400</w:t>
            </w:r>
          </w:p>
        </w:tc>
      </w:tr>
      <w:tr>
        <w:trPr>
          <w:tblHeader w:val="false"/>
        </w:trPr>
        <w:tc>
          <w:tcPr>
            <w:tcW w:type="dxa" w:w="6939"/>
            <w:shd w:fill="001D3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SUBTOTAL FASE 2</w:t>
            </w:r>
          </w:p>
        </w:tc>
        <w:tc>
          <w:tcPr>
            <w:tcW w:type="dxa" w:w="2699"/>
            <w:shd w:fill="001D3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S/ 3,600</w:t>
            </w:r>
          </w:p>
        </w:tc>
      </w:tr>
    </w:tbl>
    <w:p>
      <w:pPr>
        <w:spacing w:after="200"/>
      </w:pP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/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Las fases son contratables por separado.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 La Fase 2 solo tiene sentido con la Fase 1 ejecutada; la Fase 1 tiene valor propio aunque la Fase 2 no se contrate.</w:t>
      </w:r>
    </w:p>
    <w:p>
      <w:pPr>
        <w:spacing w:after="160"/>
      </w:pPr>
    </w:p>
    <w:tbl>
      <w:tblPr>
        <w:tblW w:type="dxa" w:w="9638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</w:tblPr>
      <w:tblGrid>
        <w:gridCol w:w="3181"/>
        <w:gridCol w:w="3181"/>
        <w:gridCol w:w="3276"/>
      </w:tblGrid>
      <w:tr>
        <w:trPr>
          <w:tblHeader/>
        </w:trPr>
        <w:tc>
          <w:tcPr>
            <w:tcW w:type="dxa" w:w="3181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Forma de pago</w:t>
            </w:r>
          </w:p>
        </w:tc>
        <w:tc>
          <w:tcPr>
            <w:tcW w:type="dxa" w:w="3181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Incluye</w:t>
            </w:r>
          </w:p>
        </w:tc>
        <w:tc>
          <w:tcPr>
            <w:tcW w:type="dxa" w:w="3276"/>
            <w:shd w:fill="EAF0F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20" w:before="20" w:line="270"/>
              <w:jc w:val="left"/>
            </w:pPr>
            <w:r>
              <w:rPr>
                <w:rFonts w:ascii="Arial" w:cs="Arial" w:eastAsia="Arial" w:hAnsi="Arial"/>
                <w:b/>
                <w:bCs/>
                <w:color w:val="001D3A"/>
                <w:spacing w:val="20"/>
                <w:sz w:val="16"/>
                <w:szCs w:val="16"/>
              </w:rPr>
              <w:t xml:space="preserve">No incluye</w:t>
            </w:r>
          </w:p>
        </w:tc>
      </w:tr>
      <w:tr>
        <w:trPr>
          <w:tblHeader w:val="false"/>
        </w:trPr>
        <w:tc>
          <w:tcPr>
            <w:tcW w:type="dxa" w:w="318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50% al inicio de cada fase y 50% contra entrega de los entregables verificados.</w:t>
            </w:r>
          </w:p>
          <w:p>
            <w:pPr>
              <w:spacing w:after="20" w:before="6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Factura electrónica emitida al inicio de cada fase.</w:t>
            </w:r>
          </w:p>
        </w:tc>
        <w:tc>
          <w:tcPr>
            <w:tcW w:type="dxa" w:w="3181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Todo el trabajo técnico, de contenido y de configuración descrito.</w:t>
            </w:r>
          </w:p>
          <w:p>
            <w:pPr>
              <w:spacing w:after="20" w:before="6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Herramientas: GA4, Tag Manager, Search Console, Bing Webmaster, Looker Studio y Google Business Profile — </w:t>
            </w:r>
            <w:r>
              <w:rPr>
                <w:rFonts w:ascii="Calibri" w:cs="Calibri" w:eastAsia="Calibri" w:hAnsi="Calibri"/>
                <w:b/>
                <w:bCs/>
                <w:color w:val="4D5966"/>
                <w:sz w:val="19"/>
                <w:szCs w:val="19"/>
              </w:rPr>
              <w:t xml:space="preserve">todas sin costo de licencia</w:t>
            </w: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.</w:t>
            </w:r>
          </w:p>
        </w:tc>
        <w:tc>
          <w:tcPr>
            <w:tcW w:type="dxa" w:w="3276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pPr>
              <w:spacing w:after="0" w:before="2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Inversión publicitaria en Google Ads (S/ 800 a 1,500 mensuales sugeridos, pagados directo a Google).</w:t>
            </w:r>
          </w:p>
          <w:p>
            <w:pPr>
              <w:spacing w:after="20" w:before="60" w:line="27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4D5966"/>
                <w:sz w:val="19"/>
                <w:szCs w:val="19"/>
              </w:rPr>
              <w:t xml:space="preserve">Producción de video o fotografía, y artículos adicionales a los 6 acordados.</w:t>
            </w:r>
          </w:p>
        </w:tc>
      </w:tr>
    </w:tbl>
    <w:p>
      <w:pPr>
        <w:spacing w:after="200"/>
      </w:pPr>
    </w:p>
    <w:p>
      <w:pPr>
        <w:pStyle w:val="Heading3"/>
        <w:spacing w:after="90" w:before="280"/>
      </w:pPr>
      <w:r>
        <w:rPr>
          <w:rFonts w:ascii="Arial" w:cs="Arial" w:eastAsia="Arial" w:hAnsi="Arial"/>
          <w:b/>
          <w:bCs/>
          <w:color w:val="001D3A"/>
          <w:sz w:val="21"/>
          <w:szCs w:val="21"/>
        </w:rPr>
        <w:t xml:space="preserve">Continuidad opcional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A partir del mes 4: mantenimiento de contenido, gestión de campañas y monitoreo GEO. Se cotiza aparte, y solo si los resultados de la Fase 2 lo justifican.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B70016"/>
          <w:spacing w:val="40"/>
          <w:sz w:val="16"/>
          <w:szCs w:val="16"/>
        </w:rPr>
        <w:t xml:space="preserve">07 · CIERRE</w:t>
      </w:r>
    </w:p>
    <w:p>
      <w:pPr>
        <w:pStyle w:val="Heading1"/>
        <w:spacing w:after="140" w:before="0"/>
      </w:pPr>
      <w:r>
        <w:rPr>
          <w:rFonts w:ascii="Arial" w:cs="Arial" w:eastAsia="Arial" w:hAnsi="Arial"/>
          <w:b/>
          <w:bCs/>
          <w:color w:val="001D3A"/>
          <w:sz w:val="34"/>
          <w:szCs w:val="34"/>
        </w:rPr>
        <w:t xml:space="preserve">Por qué conviene empezar ahora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El GEO está hoy donde estaba el SEO en 2005: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el costo de entrar es bajo y la ventaja del primero dura años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. Ninguna financiera peruana mediana está optimizando todavía para motores generativos. Cuando lo hagan todas, aparecer costará varias veces más.</w:t>
      </w: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Y hay un argumento más simple: </w:t>
      </w:r>
      <w:r>
        <w:rPr>
          <w:rFonts w:ascii="Calibri" w:cs="Calibri" w:eastAsia="Calibri" w:hAnsi="Calibri"/>
          <w:b/>
          <w:bCs/>
          <w:i w:val="false"/>
          <w:iCs w:val="false"/>
          <w:color w:val="4D5966"/>
          <w:sz w:val="21"/>
          <w:szCs w:val="21"/>
        </w:rPr>
        <w:t xml:space="preserve">hoy Advance no mide un solo lead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D5966"/>
          <w:sz w:val="21"/>
          <w:szCs w:val="21"/>
        </w:rPr>
        <w:t xml:space="preserve">. Cada semana sin medición es una semana de decisiones tomadas a ciegas.</w:t>
      </w:r>
    </w:p>
    <w:p>
      <w:pPr>
        <w:spacing w:after="300"/>
      </w:pPr>
    </w:p>
    <w:p>
      <w:pPr>
        <w:pBdr>
          <w:bottom w:val="single" w:color="B70016" w:sz="12" w:space="4"/>
        </w:pBdr>
        <w:spacing w:after="160" w:before="0"/>
      </w:pPr>
    </w:p>
    <w:p>
      <w:pPr>
        <w:spacing w:after="140" w:before="0" w:line="2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A8592"/>
          <w:sz w:val="18"/>
          <w:szCs w:val="18"/>
        </w:rPr>
        <w:t xml:space="preserve">Advance Group  ·  Advance Factoring  ·  Advance Capital  ·  Setiembre 2026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EE5" w:sz="4" w:space="8"/>
      </w:pBdr>
      <w:jc w:val="center"/>
    </w:pPr>
    <w:r>
      <w:rPr>
        <w:rFonts w:ascii="Arial" w:cs="Arial" w:eastAsia="Arial" w:hAnsi="Arial"/>
        <w:color w:val="7A8592"/>
        <w:spacing w:val="20"/>
        <w:sz w:val="14"/>
        <w:szCs w:val="14"/>
      </w:rPr>
      <w:t xml:space="preserve">Propuesta SEM · SEO · AEO · GEO   |   Advance Group   |   Setiembre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  <w:rPr>
        <w:color w:val="B700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D596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2026-09-09T19:14:07.294Z</dcterms:created>
  <dcterms:modified xsi:type="dcterms:W3CDTF">2026-09-09T19:14:07.337Z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