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TOMOGRAFIA COMPUTADORIZADA DO ABDOME TOTAL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Aquisição volumétrica, com contrastes oral negativo (água) e venoso.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Fígado com dimensões normais, contornos regulares, notando-se pequeno foco hipoatenuante, incaracterístico no segmento II (mais provavelmente sem relevância clínica).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Veia porta pérvia.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Não há dilatação das vias biliares. Vesícula biliar com dimensões normais.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Pâncreas com dimensões normais, contornos regulares, atenuação homogênea e sem dilatação do ducto pancreático principal.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Baço e adrenais com atenuação normal.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Rins tópicos, com dimensões normais, notando-se microcálculo não obstrutivo no grupamento calicial superior à direita.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Veia renal esquerda retroaórtica (variação anatômica).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Bexiga com moderada repleção, sem particularidades.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Útero e regiões anexiais sem particularidades.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Ausência de linfonodomegalias ou líquido livre peritoneal.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Discreto hiperrealce mucoso da ponta do apêndice cecal, inespecífico na ausência de correlação clínica.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Relatado por: Dr. Adriano Tachibana - CRM 93818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Revisado e Assinado Eletronicamente por: Dr. Adriano Tachibana - CRM 93818 e Dra. Renata Emy Ogawa - CRM 104396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