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(PARA PESQUISA DE LITÍASE URINÁRIA)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sem contraste, para pesquisa de litíase do trato urinário.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e contornos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com atenuação homogênea neste estudo sem contraste endovenoso.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Cálculo lobulado (ou dois justapostos) impactado no ureter distal direito, imediatamente antes da junção ureterovesical, medindo 1,0 cm e com atenuação média de 1100 UH, determinando mínima ectasia ureteral a montante, sem significativa dilatação pielocalicinal.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Cálculo calicinal puntiforme não obstrutivo no cálice inferior do rim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Ureter esquerdo com trajeto e calibre normais, sem cálculos.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gastroplastia redutora.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*Controle de ureterolitíase à direita. Persiste um cálculo lobulado (ou dois justapostos) no ureter distal direito, imediatamente antes da junção ureterovesical, inalterado em relação à tomografia pregressa de 27/09/2013.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Fernando Ide Yamauchi CRM 124946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Ide Yamauchi CRM 124946 e Dr. Marcelo de Castro Jorge Racy CRM 70913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