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494949"/>
          <w:sz w:val="28"/>
          <w:szCs w:val="28"/>
        </w:rPr>
      </w:pPr>
      <w:r w:rsidDel="00000000" w:rsidR="00000000" w:rsidRPr="00000000">
        <w:rPr>
          <w:b w:val="1"/>
          <w:color w:val="494949"/>
          <w:sz w:val="28"/>
          <w:szCs w:val="28"/>
          <w:rtl w:val="0"/>
        </w:rPr>
        <w:t xml:space="preserve">RESSONÂNCIA MAGNÉTICA DE ABDOME TOTAL</w:t>
      </w:r>
    </w:p>
    <w:p w:rsidR="00000000" w:rsidDel="00000000" w:rsidP="00000000" w:rsidRDefault="00000000" w:rsidRPr="00000000">
      <w:pPr>
        <w:contextualSpacing w:val="0"/>
        <w:jc w:val="both"/>
        <w:rPr>
          <w:i w:val="1"/>
          <w:color w:val="494949"/>
        </w:rPr>
      </w:pPr>
      <w:r w:rsidDel="00000000" w:rsidR="00000000" w:rsidRPr="00000000">
        <w:rPr>
          <w:i w:val="1"/>
          <w:color w:val="494949"/>
          <w:rtl w:val="0"/>
        </w:rPr>
        <w:t xml:space="preserve">Sequências multiplanares FSE e GRE ponderadas em T1 e T2, antes e após a injeção endovenosa de contraste paramagnético.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Fígado de dimensões e contornos preservados, com sinal homogêneo. Pequeno nódulo com alto sinal em situado no segmento VII, medindo 1,0 cm (deve representar um cisto ou um hemangioma).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rtl w:val="0"/>
        </w:rPr>
        <w:t xml:space="preserve">Vesícula biliar com paredes regulares e conteúdo líquido homogêneo. </w:t>
      </w:r>
      <w:r w:rsidDel="00000000" w:rsidR="00000000" w:rsidRPr="00000000">
        <w:rPr>
          <w:color w:val="494949"/>
          <w:rtl w:val="0"/>
        </w:rPr>
        <w:t xml:space="preserve">Não há dilatação das vias biliares.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Pâncreas, baço, rins e adrenais sem particularidades.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Bexiga com paredes finas e conteúdo líquido homogêneo.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Útero em anteversoflexão, com dimensões normais e com pequenos nódulos miometriais. Ovários sem particularidades. Varizes parauterinas bilaterais.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Reto com paredes regulares, sem áreas de espessamento ou alteração de sinal significativo. A área de fibrose descrita no estudo de colonoscopia de 19/02/2014 não é evidente na RM.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Ausência de linfonodomegalias ou líquido livre.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  <w:i w:val="1"/>
          <w:color w:val="494949"/>
        </w:rPr>
      </w:pPr>
      <w:r w:rsidDel="00000000" w:rsidR="00000000" w:rsidRPr="00000000">
        <w:rPr>
          <w:b w:val="1"/>
          <w:i w:val="1"/>
          <w:color w:val="494949"/>
          <w:rtl w:val="0"/>
        </w:rPr>
        <w:t xml:space="preserve">*Controle tardio pós-ressecção endoscópica de tumor retal e tratamento adjuvante. Não há sinais de recidiva local ou linfonodal detectáveis ao método. Exame sem alterações evolutivas significativas em relação à ressonância magnética da pelve de 26/09/2012.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Relatado por: Dr. Fernando Ide Yamauchi CRM 124946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  <w:color w:val="494949"/>
        </w:rPr>
      </w:pPr>
      <w:r w:rsidDel="00000000" w:rsidR="00000000" w:rsidRPr="00000000">
        <w:rPr>
          <w:b w:val="1"/>
          <w:color w:val="494949"/>
          <w:rtl w:val="0"/>
        </w:rPr>
        <w:t xml:space="preserve">Revisado e Assinado Eletronicamente por: Dr. Fernando Ide Yamauchi CRM 124946 e Dr. Renato Alonso Moron CRM 79843</w:t>
      </w:r>
    </w:p>
    <w:p w:rsidR="00000000" w:rsidDel="00000000" w:rsidP="00000000" w:rsidRDefault="00000000" w:rsidRPr="00000000">
      <w:pPr>
        <w:contextualSpacing w:val="0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