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RESSONÂNCIA MAGNÉTICA DE ABDOME SUPERIOR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Sequências multiplanares FSE e GRE ponderadas em T1 e T2, antes e após a injeção endovenosa de contraste paramagnético hepatoespecífico (Primovist®).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Fígado com bordos rombos e contornos regulares, destacando-se: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- imagens compatíveis com lesões tratadas no lobo direito (segmentos V/VI, V, VII, VII/VIII e VIII), algumas com clipes metálicos de permeio, degradando parcialmente as imagens. </w:t>
      </w:r>
      <w:r w:rsidDel="00000000" w:rsidR="00000000" w:rsidRPr="00000000">
        <w:rPr>
          <w:b w:val="1"/>
          <w:rtl w:val="0"/>
        </w:rPr>
        <w:t xml:space="preserve">Destacam-se áreas de discreto realce medindo 1,5 cm no aspecto superior da lesão do segmento VII/VIII e 1,2 cm no centro da lesão do segmento VII, não se podendo afastar componente tumoral viável.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 imagem compatível com trombose de um ramo portal para o segmento VII / VIII hepático, adjacente à lesão do segmento VII / VIII, medindo cerca de 2,0 cm (vide imagens chave). Apresenta restrição à difusão das moléculas de água, podendo ter natureza secundária.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 lesão de aspecto secundário medindo 1,0 cm no segmento V / VI hepático (vide imagens-chave).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 diminuta lesão com 0,5 cm na periferia do segmento II hepático, inespecífica. Pode corresponder a área de manipulação pregressa (correlacionar com dados cirúrgicos), não se podendo afastar micrometástase no presente estudo.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Restante do sistema portal e veias hepáticas pérvios.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Colecistectomia. Não há dilatação das vias biliares.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Pâncreas com morfologia, dimensões e sinal normais, sem dilatação ductal.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Baço e adrenais sem particularidades.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Rins tópicos, de dimensões normais. Não há hidronefrose.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Ausência de linfonodomegalias ou de líquido livre no abdome superior.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* Em relação ao Pet-CT de 09/04/2013, destaca-se: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 A lesão do segmento VII corresponde a trombose de um ramo portal para o segmento VII/VIII, podendo ter natureza secundária.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 A lesão do segmento V corresponde a área de manipulação pregressa, sem nítidas lesões viáveis no presente estudo.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 Foram identificadas áreas suspeitas para componente tumoral viável nas lesões dos segmentos VII/VIII e VII.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 Foi caracterizada lesão de aspecto secundário no segmento V.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 Foi caracterizada diminuta lesão indeterminada na periferia do segmento II. Pode corresponder a área de manipulação pregressa (correlacionar com dados cirúrgicos), não se podendo afastar micrometástase no presente estudo.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Relatado por: Dr. MARCIO A C R REIS CRM 111569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e Assinado Eletronicamente por: Dr. MARCIO A C R REIS CRM 111569 e Dr. Renato Alonso Moron CRM 79843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