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TOMOGRAFIA COMPUTADORIZADA DE ABDOME TOTAL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Aquisição volumétrica, com contrastes oral (água) e venoso.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Fígado de dimensões e contornos preservados, com atenuação homogênea.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Não há dilatação das vias biliares. Vesícula biliar normodistendida.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Baço e adrenais sem particularidades.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Pâncreas de dimensões normais, exibindo pequenas formações císticas esparsas pelo parênquima, previamente caracterizadas como lesões intraductais mucinosas de ductos secundários. A maior mede 2,0 cm na região cefálica. Ducto pancreático principal de calibre normal.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Rins tópicos, de dimensões normais. Cistos parapiélicos bilaterais. Não há cálculos ou hidronefrose.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Bexiga com paredes finas e conteúdo líquido homogêneo. Sinais de histerectomia parcial.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Ateromatose aórtica. Apêndice cecal de aspecto preservado. Diverticulose cólica.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Leve distensão líquida dos cólons, destacando-se discreto espessamento e hiper-realce parietal segmentar no cólon sigmoide, sem nítido divertículo inflamado associado. O aspecto é inespecífico, mas pode representar alteração inflamatória (colite), se houver correlação clinicolaboratorial.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Ausência de linfonodomegalias ou de líquido livre na cavidade peritoneal.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Nódulo pulmonar não calcificado de 0,7 cm na base esquerda, inespecífico, porém inalterado desde a tomografia de 18/11/2013 (estabilidade de 1 ano e 5 meses).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Fernando Ide Yamauchi CRM 124946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Fernando Ide Yamauchi CRM 124946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