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RESSONÂNCIA MAGNÉTICA DO ABDOME SUPERIOR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Foram realizadas sequências multiplanares FSE e GRE ponderadas em T1 e T2, antes e após a injeção endovenosa de contraste paramagnético.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Análise comparativa com estudo prévio de 16/04/2008: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Aumento significativo da lesão hipervascularizada situada no segmento VI hepático, que mede 3,2 x 2,5 cm (media 2,0 cm);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Notam-se alguns pequenos focos hipervascularizados hepáticos sem correlação nas demais sequências do estudo, incaracterísticos;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Surgimento de lesão cística de 1,3 cm na periferia do colo/corpo pancreático, sem nítida comunicação ductal;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Surgimento de duas lesões nodulares nas cartilagens costais inferiores e anteriores à esquerda, que apresentam restrição à difusão e hiper-realce ao contraste, inespecíficas ao estudo. Entretanto, não se pode afastar a possibilidade de lesões secundárias (vide imagens chave);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Redução volumétrica da lesão cística renal direita, medindo atualmente 4,0 x 3,2 cm (media anteriormente 5,5 x 5,2 cm);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Os demais achados anteriormente descritos não apresentaram alterações evolutivas significativas.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Relatado por: Dr. Renato Alonso Moron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Revisado e Assinado Eletronicamente por: Dr. Renato Alonso Moron e Dr. Adriano Tachibana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