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ABDOMINAL E PÉLVICA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volumétrica, com contrastes oral negativo (água) e venoso.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Fígado, baço, pâncreas e adrenais sem alterações significativas.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Rins tópicos, com dimensões normais e contornos regulares.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Rim direito com parênquima de espessura normal, apresentando nefrograma heterogêneo, com algumas áreas hipocontrastantes que se homogeneizam na fase excretora, mais evidente nos terços superior e médio; associa-se mínima dilatação do sistema coletor e a espessamento urotelial. Não há evidências de cálculos. O aspecto pode estar relacionado ao procedimento de litotripsia referido, não se podendo afastar processo inflamatório/infeccioso.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Rim esquerdo com parênquima de espessura normal, apresentando concentração e excreção adequadas do meio de contraste, também com nefrograma um pouco heterogêneo, de padrão estriado. Não há evidências de hidronefrose. Microcálculo calicial inferior não obstrutivo à esquerda.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 achados nefrográficos merecem correlação laboratorial.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Bexiga com paredes delgadas e conteúdo líquido homogêneo.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Mínima ateromatose aórtica.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Dra. Ceci Obara Kurimori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Dra. Ceci Obara Kurimori e Dr. Renato Alonso Moron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