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DO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de controle em relação ao anterior do dia 24/11/2010 evidencia: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Surgimento de quadro suboclusivo intestinal na transição jejunoileal. Presença de hérnia paracolostômica contendo alças delgadas com distensão líquida e conteúdo de estase em alças jejunais a montante. Alças ileais distais estão colabadas.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Surgimento de pequena quantidade de líquido livre na cavidade abdominal, mais proeminente entre as alças distendidas e nas goteiras parietocólicas.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Estabilidade da massa sólida na loja retal infiltrando o sacro assim como dos implantes e das linfonodomegalias na cavidade abdominal.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Nas imagens da transição tóraco-abdominal, observa-se aumento das dimensões dos nódulos pulmonares (um do lobo médio media 1,5 cm e agora mede 1,8 cm; um do lobo inferior esquerdo.media 2,0 cm e agora mede 2,3 cm).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achados alterações evolutivas significativas, a saber: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com bordos rombos e contornos ondulados, apresentando sinais de esteatose difusa moderada.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Colecistectomia. Não há dilatação das vias biliares.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Pâncreas, baço e adrenais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Nefrectomia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Hérnia lombar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Rim direito com áreas de retração cortical, cisto cortical no terço médio e moderada dilatação pielocalicinal. Cateter ?duplo jota? com extremidade proximal no grupamento calicinal médio e distal na região do soalho da bexiga, aparentemente envolvido pela massa na loja retal.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Hérnia de parede abdominal anterior contendo pequeno segmento de alça delgada distal ao ponto de suboclusão, na região mediana infra-umbilical, com colo de 2,0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 expansiva com atenuação heterogênea de gordura de 10,0 cm em músculo na raiz da coxa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Dra. Bruna Schmitz Serpa - CRM 127156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Dra. Bruna Schmitz Serpa - CRM 127156 e Dra. Renata Emy Ogawa - CRM 104396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