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TOMOGRAFIA COMPUTADORIZADA DE ABDOME TOTAL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i w:val="1"/>
          <w:color w:val="494949"/>
        </w:rPr>
      </w:pPr>
      <w:r w:rsidDel="00000000" w:rsidR="00000000" w:rsidRPr="00000000">
        <w:rPr>
          <w:b w:val="1"/>
          <w:i w:val="1"/>
          <w:color w:val="494949"/>
          <w:rtl w:val="0"/>
        </w:rPr>
        <w:t xml:space="preserve">Aquisição volumétrica, sem contraste.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Fígado de dimensões e contornos preservados, com sinais de deposição gordurosa difusa.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Não há dilatação das vias biliares. Vesícula biliar distendida.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Pâncreas de dimensões normais, notando-se área hipoatenuante de cerca de 1,5 cm na região cefálica (inespecífica, provavelmente sem correlação com episódio de dor abdominal atual), sem dilatação do ducto principal. Planos adiposos peripancreáticos preservados.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Baço e adrenais sem particularidades.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Rins tópicos, de dimensões normais. Microcálculo puntiforme calicinal inferior esquerdo. Não há hidronefrose.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Ureteres de calibre normal, sem cálculos evidentes.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Sinais de apendicectomia. Alguns segmentos de alças delgadas apresentam amplo contato com a parede abdominal anterior (possivelmente aderidos). Não há distensão intestinal.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Ausência de linfonodomegalias ou de líquido livre na cavidade peritoneal.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Bexiga com paredes finas e conteúdo líquido homogêneo.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Ovário esquerdo acolado à serosa fúndica uterina.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Flebólitos pélvicos.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Sinais de manipulação cirúrgica da parede abdominal anterior.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Alterações degenerativas osteoarticulares esparsas.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i w:val="1"/>
          <w:color w:val="494949"/>
        </w:rPr>
      </w:pPr>
      <w:r w:rsidDel="00000000" w:rsidR="00000000" w:rsidRPr="00000000">
        <w:rPr>
          <w:b w:val="1"/>
          <w:i w:val="1"/>
          <w:color w:val="494949"/>
          <w:rtl w:val="0"/>
        </w:rPr>
        <w:t xml:space="preserve">- Em relação à tomografia de 08/04/2014, notam-se realização da apendicectomia e desaparecimento do líquido intraperitoneal. A pequena área hipoatenuante na região cefálica pancreática encontra-se pouco mais evidente no estudo atual (caso haja indicação clínica, um estudo por colangiorressonância pode trazer informações adicionais).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Dra. Cassia Franco Tridente CRM 130013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Dra. Cassia Franco Tridente CRM 130013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