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DO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Implantes mamários bilaterais.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Imagem nodular de 1,6 cm no quadrante ínfero-lateral da mama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Fígado, baço, pâncreas e adrenais sem alterações.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dilatação das vias biliares.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Rins com dimensões normais e contornos lobulados. Parênquima renal de atenuação preservada, ressaltando-se a baixa sensibilidade do método para detecção de lesões parenquimatosas em estudo sem contraste endovenoso.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critério clínico, prosseguir investigação da imagem descrita na ultrassonografia realizada nesta mesma data, a qual não tem correlação tomográfica, com RM do abdome superior 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Cálculo renal calicinal no grupamento inferior do rim esquerdo, com 0,3 cm. Não há evidências de hidronefrose.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Apêndice cecal de aspecto tomográfico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ou de líquido livre intraperitoneal.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paredes delgadas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Dispositivo intrauterino.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Dra. Daniella Ferraro Fernandes Costa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Dra. Daniella Ferraro Fernandes Costa e Dr. Renato Alonso Moron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