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DO ABDOME TOTAL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volumétrica, sem contraste.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Controle em relação à tomografia de 18/04/2011 evidencia: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Discreta redução das coleções hidroaéreas no mesossigmóide, a maior loja medindo 3,6 x 2,0 cm. Houve extravasamento do meio de contraste administrado por via oral no estudo anterior para o interior destas coleções, confirmando a perfuração intestinal.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Observam-se agora bolhas de pneumoperitôneo nos espaços subfrênicos.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Permanece o espessamento parietal segmentar do retossigmóide adjacente às coleções, bem como as alças delgadas de paredes espessadas adjacente ao processo. O ceco agora também encontra-se de paredes espessadas.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Está menos evidente a dilatação do sistema coletor renal direito, relacionada ao processo inflamatório pélvico.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Aparecimento de mínimo derrame pleural direito.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achados permanecem evolutivamente estáveis, a saber: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Pequena hérnia gástrica hiatal por deslizamento.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Fígado com dimensões normais e contornos regulares. Cisto hepático no segmento II/III de 0,9 cm.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Colecistectomia. Não há dilatação das vias biliares.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Divertículos duodenais.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Baço, pâncreas e adrenais sem alterações.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Rins com dimensões normais. Microcálculos calicinais não obstrutivos no rim esquerdo. Cistos corticais bilaterais. Pequenos focos de retenção do meio de contraste administrado no exame pregresso no parênquima renal.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Divertículos no sigmóide.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Discreta ateromatose aortoilíaca.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linfonodomegalias abdômino-pélvicas.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Bexiga com paredes delgadas e conteúdo líquido homogêneo.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Relatado por: Dr. Marcio Augusto Correia Rodrigues dos Reis - CRM 111569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Dr. Marcio Augusto Correia Rodrigues dos Reis - CRM 111569 e Dra. Renata Emy Ogawa - CRM 104396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