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ABDOME INFERIOR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Foram realizadas sequências multiplanares FSE e GRE ponderadas em T1 e T2, antes e após a injeção endovenosa de contraste paramagnético. Utilizado gel intravaginal.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precoce pós-tratamento (QT e RT) por neoplasia de colo uterino, comparativo ao exame anterior de 17/10/2008, evidenciando: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áreas de alto sinal em T2 no colo uterino, que sugiram tecido neoplásico viável. O anel estromal é bem delimitado no estudo atual, sem áreas de descontinuidade.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Persistem múltiplos miomas intramurais e subserosos difusos pelo útero, distorcendo o endométrio (que tem espessura normal).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boa repleção, de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Ovários de aspecto normal para a faixa etária.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Mínima quantidade de líquido livre na pelve (fisiológico).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no segmento pélvico estudado.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Novamente caracterizamos cistos perirradiculares sacrais.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RONALDO HUEB BARONI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RONALDO HUEB BARONI e Dra. RENATA EMY OGAWA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