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de dimensões e contornos preservados, com sinal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Sistema portal e veias hepáticas pérvios.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Vesícula biliar normodistendida,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Pâncreas com morfologia, dimensões e sinal normais, sem dilatação ductal.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normais, notando-se ínfimo cisto cortical no terço médio esquerdo. Boa concentração do meio de contraste. Não há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ou de líquido livre no abdome superior.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 Não houve correlação do nódulo hepático descrito em ultrassonografia de abdome de 13/05/2013 neste estudo de ressonância magnética.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Priscila Pimentel Collier CRM 140500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Aparecido Nakano Martins CRM 124896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