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DO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 helicoidal / multislice, antes e após a injeção venosa do meio de contraste iodado não-iônico, tendo o paciente recebido previamente meio de contraste diluído por via oral.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com dimensões normais apresentando redução difusa de sua atenuação, compatível com esteatose. Ausência de lesões focais hepáticas.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Clipes de colecistectomia na loja da vesícula biliar.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Prováveis clipes de colecistectomia junto à periferia do segmento VI.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Baço, pâncreas e adrenais sem alterações.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com dimensões normais. Não há evidências de cálculos ou hidronefrose.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abdômino-pélvicas.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ateromatose ilíaca.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líquido livre intraperitoneal.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delgadas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histerectomia parcial com prováveis formações císticas no colo uterino.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sugestiva de ovários com dimensões aumentadas à esquerda e atenuação heterogênea, devendo ser, a critério clínico, sem correlacionado com ultra-sonografia transvaginal.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Dra. Aline Graziella Martins Parra Queiroz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Dra. Aline Graziella Martins Parra Queiroz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