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ABDOME SUPERIOR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Foram realizadas sequências multiplanares FSE e GRE ponderadas em T1 e T2, antes e após a injeção endovenosa de contraste paramagnético.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 comparativa com estudo prévio de 16/04/2008: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significativo da lesão hipervascularizada situada no segmento VI hepático, que mede 3,2 x 2,5 cm (media 2,0 cm);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Notam-se alguns pequenos focos hipervascularizados hepáticos sem correlação nas demais sequências do estudo, incaracterísticos;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Surgimento de lesão cística de 1,3 cm na periferia do colo/corpo pancreático, sem nítida comunicação ductal;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Surgimento de duas lesões nodulares nas cartilagens costais inferiores e anteriores à esquerda, que apresentam restrição à difusão e hiper-realce ao contraste, inespecíficas ao estudo. Entretanto, não se pode afastar a possibilidade de lesões secundárias (vide imagens chave);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Redução volumétrica da lesão cística renal direita, medindo atualmente 4,0 x 3,2 cm (media anteriormente 5,5 x 5,2 cm);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demais achados anteriormente descritos não apresentaram alterações evolutivas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Renato Alonso Moron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Renato Alonso Moron e Dr. Adriano Tachibana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