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com cisto de 0,5 cm no segmento VIII.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com morfologia, dimensões e sinal normais, sem dilatação ductal.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 com contornos e dimensões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Adrenais tópicas com contornos, dimensões e sinal preservados (Não houve correlação deste estudo com as formações nodulares descritas nesta topografia na ultrassonografia de 22/04/2013).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normais, com boa concentração do contraste. Cistos corticais simples esparsos, medindo até 0,9 cm no polo superior esquerdo. Não há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Próstata com dimensões normais, medindo 4,5 x 3,4 x 2,5 cm (peso estimado em 19 g) e contornos preservados. Zona periférica com sinal discretamente heterogêneo,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Vesículas seminais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Raros divertículos no sigmóide, sem sinais inflamatórios.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Priscila Pimentel Collier - CRM140500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Adriano Tachibana - CRM 93818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