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RADIOGRAFIA DE ABDOME SIMPLES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Indicação:</w:t>
      </w:r>
      <w:r w:rsidDel="00000000" w:rsidR="00000000" w:rsidRPr="00000000">
        <w:rPr>
          <w:color w:val="494949"/>
          <w:rtl w:val="0"/>
        </w:rPr>
        <w:t xml:space="preserve"> Controle pós-operatório tardio de gastrectomia. Avaliação de bridas.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Metodologia:</w:t>
      </w:r>
      <w:r w:rsidDel="00000000" w:rsidR="00000000" w:rsidRPr="00000000">
        <w:rPr>
          <w:color w:val="494949"/>
          <w:rtl w:val="0"/>
        </w:rPr>
        <w:t xml:space="preserve"> Administrado 100 ml de contraste iodado pela sonda naso-enteral e observada progressão do meio de contraste por meio de escopia e radiografias contrastadas após duas horas de trânsito intestinal.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Sonda digestiva com extremidade projetada no hipocôndrio esquerdo.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Progressão do meio de contraste pelas alças delgadas até o cólon esquerdo no período de 2 horas. Não há significativa distensão das alças delgadas ou dos cólons.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calcificações patológicas.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Sombras dos músculos psoas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sinais sugestivos de obstrução intestinal.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Murilo Marques Almeida Silva CRM 141369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Fernando Ide Yamauchi CRM 124946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