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URETROCISTOGRAFIA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de bexiga neurogênica.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Cateter de derivação com extremidade no hipocôndrio esquerdo.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Espinha bífida lombossacra. Escoliose lombar com convexidade para a esquerda.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Luxação dos quadris.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Distribuição habitual dos gases intestinais.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calcificações patológicas.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Sombras dos músculos psoas livres.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soalho rebaixado, tendo contornos lobulados e capacidade para 150 mL.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Refluxo vésico-ureteral à esquerda atingindo o sistema pielocalicial, que se encontra discretamente dilatado.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Realizado esvaziamento vesical através de cateterização.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CONCLUSÃO: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de bexiga neurogênica.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Refluxo vésico-ureteral grau III à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Exame sem alterações significativas em relação ao estudo de Janeiro/2012.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