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BIÓPSIA GUIADA POR TOMOGRAFIA COMPUTADORIZADA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Lesão-alvo: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Massa no lobo inferior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 utilizado: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Agulha tipo Raqui 22G.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Kit coaxial de biópsia 19/20G.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Procedimento: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Anestesia endovenosa (sedação).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Paciente posicionado em decúbito ventral.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 infiltração anestésica local com xilocaína.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Progredida agulha de biópsia até a lesão, sendo obtidos quatro fragmentos para estudo genético.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Observamos pneumotórax pequeno após a biópsia, que foi aspirado e mostrou-se mínimo no controle após 15 minutos na tomografia e indetectável na radiografia de controle de 1 hora.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paciente foi mantido em repouso e sob monitorização por 3 horas após o procedimento.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