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 oral.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evolutivo. O estudo atual é comparado à tomografia imediatamente após controle de drenagem realizada no dia 19/03/2013.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coleção associada ao dreno epigástrico, adjacente ao coto da alça de derivação biliopancreática, tem mínima quantidade de líquido. Apresentou discreto aumento de suas dimensões, mas à custa de preenchimento gasoso;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Foi sacado o dreno retroperitoneal na fossa ilíaca direita, tendo surgido coleção líquida com bolhas gasosas, que mede 6,7 x 5,1 x 2,5 cm (volume estimado em 45 ml);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Houve boa progressão do contraste oral administrado no estudo atual, notando-se também, contraste de estudo prévio (trânsito intestinal do dia 25/03/2013) no cólon e reto;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Mínima quantidade de líquido livre na pelve;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Derrame pleural bilateral, mínimo à direita e pequeno à esquerda (em volume menor que no estudo de referência);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Sinais de gastroduodenopancreatectomia cefálica, com derivações gastrojejunal, biliodigestiva e pancreatojejunal em alça única. Persiste o espessamento parietal da anastomose gastrojejunal;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Na região de “compressão extrínseca” do corpo gástrico, observa-se a passagem de estruturas vasculares que se dirigem para o ângulo esplênico do cólon, podendo ser a causa da compressão.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