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(RELATÓRIO DE EMERGÊNCIA)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focal do calibre associado a aspecto rotacional de segmento do sigmóide. Nota-se leve distensão gasosa das alças colônicas a montante. Não existem sinais de sofrimento de alça associados e existe gás e fezes na ampola retal (não obstrui completamente o trânsito). Necessária correlação clínica e eventualmente controle evolutivo, que pode ser realizado por radiografia.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 ou sinais de pancreatite.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Apêndice cecal de aspecto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Planos adiposos periviscerais com atenuação preservada.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pneumoperitônio.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litíase urinária ou sinais de uropatia obstrutiva. Nefrograma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pérvias, de calibres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pequena repleção,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Mínima quantidade de líquido livre na cavidade peritoneal.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