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ângio-ressonância magnética ABDOMINOPÉLVICA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Foram realizadas sequências multiplanares FSE e GRE ponderadas em T1 e T2, antes e após a injeção endovenosa de contraste paramagnético, incluindo séries de ângio-RM 3D para avaliação vascular, principalmente direcionada para o estudo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Veias cava inferior, ilíacas comuns, externas e internas pérvias e com calibre normal, sem falhas de enchimento que possam sugerir trombose.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 venoso profundo da região pélvica também sem sinais de trombose.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Mínimo derrame pleural à esquerda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Esteatose hepática.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hipervascularizado no segmento VIII do fígado, medindo 2,3 cm, mais provavelmente correspondendo a hiperplasia nodular focal. Conveniente controle evolutivo por ressonância magnética com protocolo direcionado ao fígado.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Cistos corticais renais à esquerda, o maior deles no terço superior, com 2,0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abdominal e artérias ilíacas pérvias e com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 celíaco apresentando leve impressão da sua origem na topografia do ligamento arqueado do diafragma, com boa contrastação de seus ramos. Artérias mesentéricas superior e inferior pérvias e com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Artérias renais sem estenoses. Identificam-se duas artérias renais acessórias inferiores à direita, de fino calibre, que se originam da aorta a 6,5 cm e 10,0 cm abaixo da artéria renal principal.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