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(RELATÓRIO DE EMERGÊNCIA)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visceromegalias.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 ou sinais de pancreatite.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Alças intestinais com calibres preservados e paredes de espessura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Apêndice cecal de aspecto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adiposos periviscerais com atenuação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pneumoperitônio.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litíase urinária ou sinais de uropatia obstrutiva. Nefrograma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pérvias, de calibres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líquido livre na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discretamente aumentados na cadeia ilíaca externa direita, e na região do ligamento hepatogástrico, com até 1,8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 relevantes não relacionados ao contexto clínico: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Esteatose hepática.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de 2,0 cm com características de hemangioma no segmento II.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hipoatenuante de 2,5 cm no pólo inferior do baço, indeterminado (considerar controle evolutivo, preferencialmente com RM do Abdome, caso haja indicação de investigação adicional).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 cisto cortical renal no terço inferior à esquerda e mínima retração cortical no terço superior do mesmo rim, de aspecto sequelar.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