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com contrastes oral e 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gastroplastia vertical.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 de dimensões e contornos preservados, com atenuação homogênea.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Colecistectomia. Não há dilatação das vias biliares.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Baço, pâncreas e adrenais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com dimensões normais. Sinais de duplicidade pieloureteral incompleta à direita, e duplicidade piélica à esquerda (variantes anatômicas). Cálculo não obstrutivo, medindo 0,5 cm, no grupamento calicinal superior do rim direito.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ou de líquido livre na cavidade peritoneal.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Histerectomia.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finas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Hérnia incisional infra-umbilical com colo de 2,7cm, por onde se insinua tecido gorduroso.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Divertículos cólicos sem sinais inflamatórios atuais.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Espondilose lombar.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Duas diminutas densificações nodulares peritoneais, uma delas no flanco esquerdo e a outra na gordura herniada pela região umbilical, inespecíficas.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Em comparação ao estudo de 03/10/2012: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Realização de gastrectomia vertical;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Redução da hérnia incisional infra-umbilical, agora contendo apenas gordura peritoneal;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Caracterização de duas diminutas densificações nodulares peritoneais, inespecíficas (podem corresponder inclusive a granulomas). Entretanto, sugere-se controle evolutivo, dependendo da indicação clínica.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