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(ÊNFASE NOS RINS)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e contornos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Nodulação levemente hiperatenuante exofítica na face póstero-lateral do segmento médio-superior do rim esquerdo, medindo 1,3 cm, com leve hiperatenuação e questionável discreto realce tardio pós-contraste. As possibilidades de lesão expansiva parenquimatosa (do subtipo papilífero) ou, menos provavelmente, cisto hemorrágico devem ser consideradas. Recomendamos controle precoce por ressonância magnética em até 3 meses.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com atenuação homogênea.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Gordura perirrenal conservada.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observam imagens de cálculos ou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renal principal direita pérvia, de calibre normal, emitindo ramo polar superior cerca de 1,0 cm após sua emergência. Artéria acessória hilar inferior direita, emergindo da aorta cerca de 5 cm abaixo da artéria principal.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renal esquerda única, pérvia, de calibre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Veias renais e veia cava inferior pérvias e anatômicas.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Ureteres com trajeto e calibre normais, sem cálculos.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esteatose hepática.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Nodulação subcentimétrica junto ao contorno ântero-lateral esplênico, mais provavelmente representando um baço acessório.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Lipossubstituição da cabeça e processo uncinado pancreáticos.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Alças intestinais sem particularidades (não mais se observa o espessamento parietal do cólon esquerdo descrito no estudo de 08/02/2013).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Diminuta hérnia umbilical, com conteúdo gorduroso.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não calcificado de 0,8 cm no lobo médio do pulmão direito, incaracterístico.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