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ESÔFAGO-ESTÔMAGO-DUODENOgrafia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Q.C.: Controle tardio pós-cirurgia para hérnia de hiato. Paciente assintomático.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Esôfago de topografia, calibre, peristaltismo e contornos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fundoplicatura tópica, com boa passagem do meio de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estômago de topografia, morfologia e contornos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hérnia de hiato ou refluxo gastro-esofágico durante as manobras de pesquisa.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Bulbo e arco duodenal sem sinais de lesões orgânicas.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