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DE PELVE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TÉCNICA: </w:t>
      </w:r>
      <w:r w:rsidDel="00000000" w:rsidR="00000000" w:rsidRPr="00000000">
        <w:rPr>
          <w:rtl w:val="0"/>
        </w:rPr>
        <w:t xml:space="preserve">sequências multiplanares, com contraste venoso. Administrado gel para a distensão vaginal. DUM: 15/03/2017.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INDICAÇÃO: </w:t>
      </w:r>
      <w:r w:rsidDel="00000000" w:rsidR="00000000" w:rsidRPr="00000000">
        <w:rPr>
          <w:rtl w:val="0"/>
        </w:rPr>
        <w:t xml:space="preserve">exame de controle tardio pós-cirurgia de endometriose.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Bexiga normodistendida, de paredes regulares e conteúdo líquido homogêneo.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Útero retrovertido, de morfologia normal e contornos regulares. Mede 6,2 x 2,8 x 4,8 cm, com volume estimado em 43 cc. Miométrio homogêneo, sem nódulos.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Zona juncional uterina regular, com espessura normal. Não há sinais de adenomiose.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Endométrio regular, com espessura de 0,3 cm.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Ovário direito de dimensões normais (mede 2,4 x 2,4 x 1,2 cm; volume de 3,5 cc), com sinal habitual. Pequenos cistos simples, provavelmente funcionais (folículos). Ovário esquerdo não caracterizado.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Ausência de linfonodomegalias.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Ausência de líquido livre.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Mínima quantidade de líquido livre, em volume fisiológico.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 xml:space="preserve">Traves com baixo sinal em T2 e aspecto retrátil na região anexial direita. Discreto espessamento dos ligamentos uterossacros.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Regiões retro e paracervicais, septo retovaginal, recesso vesicouterino e parede anterior do retossigmóide livres.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