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DE ABDOME TOTAL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Sequências multiplanares FSE e GRE ponderadas em T1 e T2, antes e após a injeção endovenosa de contraste paramagnético.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Escoliose sigmoide da coluna lombar.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Fígado de dimensões e contornos preservados, apresentando prolongamento lateral do lobo esquerdo, com sinal homogêneo, exceto por diminutos cistos esparsos com até 0,4 cm. Nódulo hipervascularizado no segmento VI de 0,6 cm, indeterminado.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Sistema portal e veias hepáticas pérvios.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Vesícula biliar normodistendida, com paredes finas e conteúdo líquido homogêneo.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Não há dilatação das vias biliares.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Pâncreas com morfologia e dimensões normais, sem dilatação ductal. Discreto hipossinal em T1 na cabeça, processo uncinado e colo (achado inespecífico, mas sugere-se correlação com dados clínico-laboratoriais).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Baço e adrenais sem particularidades.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Rins tópicos, de dimensões normais, com boa concentração do contraste. Sinais de duplicidade ureteropiélica à direita. Dois diminutos angiomiolipomas no rim direito, com 0,5 cm no pólo superior e 0,4 cm no terço médio. Pequenos cistos corticais com até 0,8 cm à direita. Não há hidronefrose.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Bexiga com pequena repleção e conteúdo líquido homogêneo.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Útero em anteversoflexão, com morfologia e contornos preservados. Mede cerca de 5,6 x 2,8 x 3,2 cm, com volume estimado em 26 cc.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Miométrio com sinal habitual, sem nódulos identificáveis.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Endométrio e zona juncional com espessuras normais.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Ovário direito não visualizado.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Ovário esquerdo de dimensões e sinal preservados.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Ausência de linfonodomegalias ou de líquido livre na cavidade peritoneal.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Moderada quantidade de material fecal preenchendo os cólons, com leve/moderada distensão do ceco e cólon ascendente.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Cistos perirradiculares sacrais (Tarlov).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