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discretamente aumentadas, com discreta área de retração capsular no segmento II. Realce parenquimatoso heterogêneo na fase arterial, delimitando-se alguns diminutos nódulos mal definidos com aparente discreto realce periférico precoce esparsos, medindo até 1,0 cm. Associa-se ainda uma discreta dilatação de ramos biliares intra-hepáticos no segmento lateral do lobo esquerdo e no segmento V. Tais alterações, em conjunto com a história clínica do paciente (relato de retirada de cisto de colédoco na infância) pode representar colangite com diminutos abscessos peribiliares. Conveniente correlação com dados clínico-laboratoriais.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das vias biliares intra-hepáticas sem dilatação.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 delgada ocupando o hilo hepático (anastomose biliodigestiva?).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normais. Não se evidenciam imagens de cálculos ou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Linfonodomegalia isolada interaortocaval, logo abaixo da veia renal esquerda, medindo 1,5 x 1,2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Útero de morfologia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Ovários discretamente proeminentes, com folículos. Corpo lúteo no ovário esquerdo medindo 1,3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Lâmina de líquido livre na cavidade pélvica.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