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(RELATÓRIO DE EMERGÊNCIA)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volumétrica, com contrastes oral negativo (água) e venoso.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Tênue obliteração do tecido adiposo subcutâneo ao redor da cicatriz umbilical, que pode ter natureza inflamatória (correlacionar com exame físico). Associa-se diminuta hérnia umbilical com colo de 0,4 cm por onde se insinua tecido adiposo (vide imagem chave).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visceromegalias ou de linfonodomegalias.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dilatação das vias biliares ou sinais de pancreatite.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Alças intestinais com calibres preservados e paredes de espessura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Apêndice cecal de aspecto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Planos adiposos periviscerais com atenuação preservada.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pneumoperitônio.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litíase urinária ou sinais de uropatia obstrutiva. Nefrograma homogêneo. Dois cistos corticais de 1,2 cm no terço inferior do rim esquerdo.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vasculares pérvias, de calibres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com paredes finas e conteúdo líquido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líquido livre na cavidade peritoneal.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