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de dimensões e contornos preservados. Hemangiomas nos segmentos IV e VIII, medindo 1,5 e 2,3 cm, respectivamente (achados estes em correlação com a RM de 10/08/2011). Cisto simples de 1,7 cm no segmento II que determina pequena dilatação focal de ductos biliares a montante. Há ainda raras calcificações puntiformes esparsas pelo lobo direito, residuais, e alguns outros focos hipoatenuantes menores que 0,5 cm esparsos, incaracterísticos por suas pequenas dimensões.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demais vias biliares.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Baço, pâncreas e adrenais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de dimensões e contornos normais, sem dilatação pielocalicinal. Cistos corticais bilaterais de até 2,0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Alças delgadas e cólicas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ou de líquido livre na cavidade peritoneal.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repleção parcial.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Nódulos miometriais calcificados, prováveis miomas.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Espondilose dorsal.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Em relação à ressonância de 10/08/2011, não se observam modificações evolutivas significativas (guardada a ressalva das diferenças entre os métodos).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