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negativo (água)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com cistos esparsos, o maior no caudado medindo 1,3 cm. Distúrbio perfusional transitório do parênquima hepático, inespecífico, podendo estar relacionado a alteração inflamatória abdominopélvica.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pâncreas, rins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Cisto no ovário esquerdo com 2,0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e hiper-realce parietais das alças delgadas na pelve, do ceco e do apêndice cecal, que apresenta calibre no limite superior da normalidade (1,0 cm). Conteúdo líquido no cólon ascendente e transverso. Os achados podem representar quadro de enterocolite, com alteração reacional do apêndice, não sendo possível excluir por completo alteração inflamatória primária do apêndice cecal. Correlacionar com dados clínicos e laboratoriais.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quantidade de líquido na pelve.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análise comparativa com a tomografia do dia 20/05/2013 não é possível pela ausência do contraste endovenoso no exame pregresso.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