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de dimensões e contornos preservados, com atenuação homogênea. Formações nodulares hipoatenuantes de 0,8 cm no segmento II e 2,1 cm no segmento VIII, descritos como cistos em exame anterior com contraste endovenoso.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vias biliares. Vesícula biliar hipodistendida.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Pâncreas de dimensões no limite da normalidade, notando-se discreta densificação dos planos adiposos e espessamento das reflexões peritoneais adjacentes ao segmento corporo-caudal. Ducto pancreático principal com calibre normal. Tais achados podem estar relacionados a processo inflamatório (pancreatite aguda) inicial, na dependência de correlação com dados clínicos e laboratoriais.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caracterizamos coleções intra ou peripancreáticas.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Baço e adrenal direita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de 1,0 cm no vértice da adrenal esquerda, indeterminado.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tópicos, de dimensões normais. Não se evidenciam imagens de cálculos ou hidronefrose. Provável cisto cortical no pólo inferior do rim direito com 0,8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ou de líquido livre na cavidade peritoneal.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ateromatose aortoilíaca.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Apêndice cecal com aspecto tomográfico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Próstata de dimensões aumentadas, determinando elevação do assoalho vesical.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Fratura/acunhamento anterior do platô superior de L2, sem recuo significativo do muro posterior.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Em relação ao exame anterior de 01/12/2012 (ressaltando a não utilização de contraste endovenoso no exame atual), nota-se o surgimento da discreta densificação dos tecidos adiposos e espessamento das reflexões peritoneais peripancreáticos. Demais achados sem alterações evolutivas significativas.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