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BIÓPSIA HEPÁTICA GUIADA POR TOMOGRAFIA COMPUTADORIZADA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Lesão-alvo: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Lesão mal definida situada lateralmente ao nódulo no segmento VI, em correlação com a RM de abdome superior do dia 26/03/2013.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Procedimento: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Anestesia local.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Utilizamos ultrassonografia para orientar também a biópsia.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Introduzimos agulha com técnica coaxial com kit de agulha 17/18G na área da lesão.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Obtivemos dois fragmentos, avaliados prontamente por patologista.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Embolizamos com Gelfoam® o trajeto ao final do procedimento.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controle final mostrou pequeno sangramento, estável e sem repercussões clínicas durante a observação.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paciente foi mantido em repouso e monitorizado por 4 horas após a biópsia.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