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(UROTOMOGRAFIA)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contrastes oral negativo (água) 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de dimensões e contornos preservados, apresentando boa concentração e eliminação do meio de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Nefrograma um pouco heterogêneo bilateralmente, principalmente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Parênquima com espessura e atenuação normais. Hipoatenuações focais corticais bilaterais, indeterminadas.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observam imagens de cálculos ou hidronefrose, bem como não evidenciamos falhas de enchimento no sistema coletor urinário.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Ureteres com trajeto e calibre normais, com drenagem livre.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Linfonodomegalias na cadeia ilíaca externa esquerda, medindo até 3,3 x 2,0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boa repleção, paredes finas, com sinais de manipulação cirúrgica no soalho.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Nódulos hepáticos hipoatenuantes, sugestivos de lesões secundárias, medindo 2,8 cm no segmento VIII, 1,0 cm no segmento V, e 0,6 cm na periferia do segmento VI.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Provável linfonodomegalia no hilo hepático/espaço portocava, heterogênea, medindo 3,8 x 1,9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nodular hipoatenuante de 0,7 cm no pólo inferior esplênico.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Divertículo da terceira porção duodenal.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 óssea de aspecto secundário insuflativa esclerótica na extremidade do 11º arco costal esquerdo com componente de partes moles, que mede 3,9 x 3,5 cm (media 3,8 x 2,9 cm). Focos escleróticos esparsos pelos corpos vertebrais lombares, sacro e ossos da bacia.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Em relação à tomografia computadorizada de 27/03/2013, nota-se aumento nas dimensões da lesão costal esquerda. Tornou-se mais heterogêneo o nefrograma bilateralmente, achado que deve ser valorizado em correlação com dados clínico-laboratoriais. Demais aspectos permanecem sem alterações evolutivas.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