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TOMOGRAFIA COMPUTADORIZADA DE ABDOME TOTAL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Aquisição volumétrica, com contraste venoso.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Fígado de dimensões e contornos preservados, com atenuação homogênea.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há dilatação das vias biliares.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Baço de dimensões e atenuação preservadas.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Pâncreas e adrenais sem particularidades.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Rins tópicos, de dimensões normais. Não se evidenciam imagens de cálculos ou hidronefrose.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Ausência de linfonodomegalias ou de líquido livre na cavidade peritoneal no estudo atual.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Bexiga com paredes finas e conteúdo líquido homogêneo.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Útero com morfologia e dimensões preservadas, apresentando conteúdo hipoatenuante no seu interior.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imagens da transição tóraco-abdominal evidenciam tênues opacidades em ?vidro-fosco? centrolobulares esparsas pelas bases pulmonares, devendo representar processo inflamatório / infeccioso em resolução, em correlação com a TC de tórax do dia 18/07/2012. Hemangioma no corpo de D10.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