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sem contraste, conforme solicitação clínica.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Exame de controle. Em comparação com o estudo de 04/03/2013, observam-se: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aumento das dimensões de algumas das lesões nodulares hipoatenuantes esparsas pelo parênquima hepático, de distribuição bilobar, secundárias. Aparente aparecimento de alguns nódulos mal definidos no lobo direito hepático.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da discreto da ascite e do espessamento nodular heterogêneo do grande omento, compatível com carcinomatose.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aspectos analisados permanecem estáveis: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Permanece com aspecto semelhante a lesão hepática nos segmentos IV, V e VIII, de aspecto confluente, com calcificações grosseiras periféricas e áreas hipoatenuantes mal definidas na periferia da mesma.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Dilatação das vias biliares dos segmentos II e III até a região da maior massa hepática.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nefropatia crônica bilateral, com distorção renal, principalmente à direita. Formações hipoatenuantes corticais esparsas à direita, uma no polo superior com conteúdo hemorrágico de 1,3 cm. Acentuada dilatação ureteropielocalicinal direita até o terço médio do ureter. Ausência de dilatação pielocalicinal à esquerda. Não se observam cálculos.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Rim transplantado na fossa ilíaca direita com boas dimensões e contornos normais. Apresenta discreta dilatação pielocalicinal. Imagem cálcica de 0,7 cm na pelve renal (densidade de 900 UH), aderida a parede anterior.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Acentuada ateromatose difusa. Dilatação difusa da artéria ilíaca comum direita. Extensas calcificações parietais da artéria esplênica com aneurisma calcificado na região hilar, medindo 1,1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Colostomia no flanco esquerdo. Reto sepultado na pelve.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linfonodomegalias. Pequena ascite.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Alterações sequelares na parede abdominal anterior, com peritoneostomia ampla. Distância entre as bordas musculares é de cerca de 14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Listese L5-S1 grau III / IV, com lise dos istmos de L5.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