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de controle. Em comparação com a tomografia de 29/01/2013, observa-se: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Desaparecimento das coleções com líquido espesso junto ao aspecto anterior do fígado.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Resolução dos múltiplos abscessos nos segmentos IV e V hepáticos. Surgiu provável microabscesso no segmento V de 0,8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Aparente redução das dimensões da lesão infiltrativa mal delimitada envolvendo a confluência dos ductos biliares hepáticos, estendendo-se ao ducto hepático comum e a ramificações biliares intra-hepáticas de ambos os lobos, determinando moderada dilatação biliar a montante. Houve melhora do afilamento do tronco portal e do seu ramo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Moderada aerobilia no lobo esquerdo com próteses biliares, estáveis.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das dimensões das linfonodomegalias heterogêneas no hilo hepático, ligamento gastrohepático, retroperitoneais periaórticas, interaortocavaia e retrocavais, medindo até 1,4 x 0,9 cm (mediam até 3,0 x 2,0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Passagem de sonda digestiva com extremidade no jejuno proximal.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ascite.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aspectos analisados permanecem estáveis, persistindo: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focais subcentimétricas esparsas pelo parênquima hepático, indeterminadas devido às suas dimensões, estáveis.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cistos esplênicos e corticais renais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Ateromatose aortoilíaca.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