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ABDOME SUPERIOR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Sequências multiplanares FSE e GRE ponderadas em T1 e T2, antes e após a injeção endovenosa de contraste paramagnético.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evolutivo, comparando-se estudo realizado no dia 02/01/2013: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seguintes lesões com características de hepatocarcinoma (hipervascularização, "washout" e pseudocápsula) são comparadas: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N1: lesão tratada no segmento VIII, apresentando aumento significativo da área de neoplasia viável, agora medindo 4,0 cm (media 2,8 cm) e maior extensão para o segmento VII, com área de necrose correspondendo agora a cerca de 10%;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N2: no segmento IV, estável com 2,8 cm;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N3: no segmento V/VI, apresentou aumento (mede 2,8 cm e media 2,2 cm);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N4: no segmento VIII, apresentou aumento (mede 2,2 cm e media 1,8 cm);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N5: no segmento VI, com 1,1 cm, estável;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N6: no segmento VII/VIII, com 1,7 cm, estável.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Houve discreto aumento da ascite.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achados inalterados: hepatopatia crônica com sinais de hipertensão portal, circulação colateral no abdome superior e esplenomegalia.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