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r90h7rq0mwor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BACIA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Exame de controle em comparação com o exame de 03/09/2015, observamos: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Aumento do edema da cabeça e colo femoral esquerdo, predominando na porção anterior, não se podendo descartar traço de fratura sem desvios. Sugerimos à critério clínico, correlacionar com tomografia computadorizada, que pode trazer informações adicionais.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Discreto aumento do edema de planos de partes moles anteriormente ao colo femoral esquerdo.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Persistem os seguintes achados: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Fixação cirúrgica no fêmur proximal esquerdo com haste intramedular metadiafisária e parafusos cervicais gerando artefatos de susceptibilidade magnética, que prejudicam imagens locais.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Pequeno derrame articular do quadril esquerdo.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Edema de fibras profundas do músculo ilíaco, com pequena coleção laminar de permeio.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Edema de fibras musculares superficiais do glúteo máximo esquerdo, podendo estar relacionado a injeção medicamentosa.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Liposubstituição parcial do ventre muscular do glúteo máximo direito.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 adicional: Espessamento do sigmóide.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Frederico Celestino Miranda CRM 127191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Frederico Celestino Miranda CRM 127191 CRM 127191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