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yonkdyk5takl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RESSONÂNCIA MAGNÉTICA DE SACRO-ILÍACAS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Ressonância magnética realizada na técnica de fast spin-eco, em cortes multiplanares pesados em T1 e T2, pré e pós-contraste paramagnético, evidenciou: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Tênues focos de edema ósseo subcondral na margem inferior da sacroilíaca direita e componente ilíaco médio à esquerda. Leve capsulite anterior e sinovite na sacroilíaca direita.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Superfícies articulares regulares, sem evidência de erosões.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Não há sinais definitivos de sacroiliíte em atividade, apesar de não ser possível excluir completamente tal possibilidade. Necessária correlação clínco-laboratorial e, a critério clínico, controle evolutivo.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ósseas de morfologia e sinal conservados.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Planos musculares de aspecto preservado.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Ricardo Tadao Yonezaki CRM 90863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Ricardo Tadao Yonezaki CRM 90863 e Dr. Alexandre Castilho Valim CRM 124885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