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7e1o77tudbbz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JOELHO ESQUERDO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da textura óssea difusa.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Controle evolutivo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Artroplastia total de joelho, com instrumental metálico no fêmur distal e tíbia proximal sem sinais de soltura.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ósseas sem alterações significativas apreciáveis ao método.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Calcificações arteriais e de partes moles periarticulares.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Ricardo Tadao Yonezaki CRM 90863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Ricardo Tadao Yonezaki CRM 90863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